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</w:rPr>
        <w:t>附件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32"/>
        </w:rPr>
        <w:t>到期监测的钦州市农业产业化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32"/>
        </w:rPr>
      </w:pPr>
      <w:r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32"/>
        </w:rPr>
        <w:t>重点龙头企业名单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  <w:t>一、灵山县（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1.广西陆屋欧亚糖业有限公司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2.灵山县东明果品加工厂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3.灵山县兴牧牧业有限公司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4.广西大力神制药有限公司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5.灵山县平南镇荣发工艺厂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6.灵山县石瓯山茶场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7.广西灵山县中茗茶业有限公司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8.广西鑫瑜牧业有限公司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  <w:t>二、浦北县（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9.浦北县建业胶合板有限责任公司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3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  <w:t>钦南区（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2"/>
          <w:highlight w:val="none"/>
          <w:lang w:val="en-US" w:eastAsia="zh-CN" w:bidi="ar-SA"/>
        </w:rPr>
        <w:t>10.广西金蚌水产养殖有限公司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3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钦北区（</w:t>
      </w:r>
      <w:r>
        <w:rPr>
          <w:rFonts w:hint="eastAsia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32"/>
          <w:szCs w:val="32"/>
          <w:lang w:val="en-US" w:eastAsia="zh-CN"/>
        </w:rPr>
        <w:t>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11.广西金页制药有限公司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广西钦州市百源香米业有限公司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3E40B2"/>
    <w:multiLevelType w:val="singleLevel"/>
    <w:tmpl w:val="C53E40B2"/>
    <w:lvl w:ilvl="0" w:tentative="0">
      <w:start w:val="2"/>
      <w:numFmt w:val="chineseCounting"/>
      <w:suff w:val="nothing"/>
      <w:lvlText w:val="%1、"/>
      <w:lvlJc w:val="left"/>
      <w:pPr>
        <w:ind w:left="-13"/>
      </w:pPr>
      <w:rPr>
        <w:rFonts w:hint="eastAsia" w:ascii="黑体" w:hAnsi="黑体" w:eastAsia="黑体" w:cs="黑体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7894"/>
    <w:rsid w:val="35EC7894"/>
    <w:rsid w:val="6C10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方正仿宋_GBK" w:eastAsia="方正仿宋_GBK" w:cs="Times New Roman"/>
      <w:color w:val="000000"/>
      <w:sz w:val="24"/>
      <w:lang w:val="en-US" w:eastAsia="zh-CN" w:bidi="ar-SA"/>
    </w:rPr>
  </w:style>
  <w:style w:type="paragraph" w:styleId="3">
    <w:name w:val="Body Text 2"/>
    <w:basedOn w:val="1"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2024-03-29T01:46:00Z</dcterms:created>
  <dc:creator>孰乐</dc:creator>
  <cp:lastModifiedBy>孰乐</cp:lastModifiedBy>
  <dcterms:modified xsi:type="dcterms:W3CDTF">2024-03-29T03:13:13Z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