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640"/>
      </w:pPr>
    </w:p>
    <w:p>
      <w:pPr>
        <w:ind w:firstLine="640"/>
      </w:pPr>
    </w:p>
    <w:p>
      <w:pPr>
        <w:spacing w:line="520" w:lineRule="exact"/>
        <w:ind w:firstLine="723"/>
        <w:rPr>
          <w:rFonts w:ascii="黑体" w:hAnsi="黑体" w:eastAsia="黑体" w:cs="黑体"/>
          <w:b/>
          <w:color w:val="000000"/>
          <w:sz w:val="36"/>
          <w:szCs w:val="36"/>
        </w:rPr>
      </w:pPr>
    </w:p>
    <w:p>
      <w:pPr>
        <w:spacing w:line="360" w:lineRule="auto"/>
        <w:ind w:firstLine="198" w:firstLineChars="38"/>
        <w:jc w:val="center"/>
        <w:rPr>
          <w:rFonts w:asciiTheme="majorEastAsia" w:hAnsiTheme="majorEastAsia" w:eastAsiaTheme="majorEastAsia"/>
          <w:b/>
          <w:bCs/>
          <w:sz w:val="52"/>
          <w:szCs w:val="52"/>
        </w:rPr>
      </w:pPr>
      <w:r>
        <w:rPr>
          <w:rFonts w:hint="eastAsia" w:asciiTheme="majorEastAsia" w:hAnsiTheme="majorEastAsia" w:eastAsiaTheme="majorEastAsia"/>
          <w:b/>
          <w:bCs/>
          <w:sz w:val="52"/>
          <w:szCs w:val="52"/>
        </w:rPr>
        <w:t>钦州市现代特色农业示范区</w:t>
      </w:r>
    </w:p>
    <w:p>
      <w:pPr>
        <w:spacing w:line="360" w:lineRule="auto"/>
        <w:ind w:firstLine="198" w:firstLineChars="38"/>
        <w:jc w:val="center"/>
        <w:rPr>
          <w:rFonts w:asciiTheme="majorEastAsia" w:hAnsiTheme="majorEastAsia" w:eastAsiaTheme="majorEastAsia"/>
          <w:b/>
          <w:bCs/>
          <w:sz w:val="52"/>
          <w:szCs w:val="52"/>
        </w:rPr>
      </w:pPr>
      <w:r>
        <w:rPr>
          <w:rFonts w:hint="eastAsia" w:asciiTheme="majorEastAsia" w:hAnsiTheme="majorEastAsia" w:eastAsiaTheme="majorEastAsia"/>
          <w:b/>
          <w:bCs/>
          <w:sz w:val="52"/>
          <w:szCs w:val="52"/>
        </w:rPr>
        <w:t>“十四五”建设规划</w:t>
      </w:r>
    </w:p>
    <w:p>
      <w:pPr>
        <w:ind w:firstLine="640"/>
        <w:jc w:val="center"/>
        <w:rPr>
          <w:rFonts w:hint="eastAsia" w:eastAsia="仿宋"/>
          <w:lang w:eastAsia="zh-CN"/>
        </w:rPr>
      </w:pPr>
      <w:r>
        <w:rPr>
          <w:rFonts w:hint="eastAsia"/>
        </w:rPr>
        <w:t xml:space="preserve"> </w:t>
      </w:r>
      <w:r>
        <w:rPr>
          <w:rFonts w:hint="eastAsia"/>
          <w:lang w:eastAsia="zh-CN"/>
        </w:rPr>
        <w:t>（</w:t>
      </w:r>
      <w:r>
        <w:rPr>
          <w:rFonts w:hint="eastAsia"/>
        </w:rPr>
        <w:t>评审会后修改稿</w:t>
      </w:r>
      <w:r>
        <w:rPr>
          <w:rFonts w:hint="eastAsia"/>
          <w:lang w:eastAsia="zh-CN"/>
        </w:rPr>
        <w:t>）</w:t>
      </w:r>
    </w:p>
    <w:p>
      <w:pPr>
        <w:ind w:firstLine="640"/>
      </w:pPr>
    </w:p>
    <w:p>
      <w:pPr>
        <w:ind w:firstLine="640"/>
      </w:pPr>
    </w:p>
    <w:p>
      <w:pPr>
        <w:ind w:firstLine="640"/>
      </w:pPr>
    </w:p>
    <w:p>
      <w:pPr>
        <w:ind w:firstLine="640"/>
      </w:pPr>
    </w:p>
    <w:p>
      <w:pPr>
        <w:ind w:firstLine="640"/>
      </w:pPr>
    </w:p>
    <w:p>
      <w:pPr>
        <w:ind w:firstLine="640"/>
      </w:pPr>
    </w:p>
    <w:p>
      <w:pPr>
        <w:ind w:firstLine="640"/>
      </w:pPr>
    </w:p>
    <w:p>
      <w:pPr>
        <w:ind w:firstLine="640"/>
      </w:pPr>
    </w:p>
    <w:p>
      <w:pPr>
        <w:ind w:firstLine="640"/>
      </w:pPr>
    </w:p>
    <w:p>
      <w:pPr>
        <w:ind w:firstLine="640"/>
      </w:pPr>
    </w:p>
    <w:p>
      <w:pPr>
        <w:pStyle w:val="2"/>
      </w:pPr>
    </w:p>
    <w:p/>
    <w:p>
      <w:pPr>
        <w:pStyle w:val="2"/>
      </w:pPr>
    </w:p>
    <w:p>
      <w:pPr>
        <w:ind w:firstLine="640"/>
      </w:pPr>
    </w:p>
    <w:p>
      <w:pPr>
        <w:ind w:firstLine="0" w:firstLineChars="0"/>
        <w:jc w:val="center"/>
        <w:rPr>
          <w:rFonts w:hint="eastAsia" w:ascii="仿宋_GB2312"/>
        </w:rPr>
      </w:pPr>
      <w:r>
        <w:rPr>
          <w:rFonts w:hint="eastAsia" w:ascii="仿宋_GB2312"/>
        </w:rPr>
        <w:t>202</w:t>
      </w:r>
      <w:r>
        <w:rPr>
          <w:rFonts w:ascii="仿宋_GB2312"/>
        </w:rPr>
        <w:t>2</w:t>
      </w:r>
      <w:r>
        <w:rPr>
          <w:rFonts w:hint="eastAsia" w:ascii="仿宋_GB2312"/>
        </w:rPr>
        <w:t>年</w:t>
      </w:r>
      <w:r>
        <w:rPr>
          <w:rFonts w:ascii="仿宋_GB2312"/>
        </w:rPr>
        <w:t>1</w:t>
      </w:r>
      <w:r>
        <w:rPr>
          <w:rFonts w:hint="eastAsia" w:ascii="仿宋_GB2312"/>
          <w:lang w:val="en-US" w:eastAsia="zh-CN"/>
        </w:rPr>
        <w:t>0</w:t>
      </w:r>
      <w:r>
        <w:rPr>
          <w:rFonts w:hint="eastAsia" w:ascii="仿宋_GB2312"/>
        </w:rPr>
        <w:t>月</w:t>
      </w:r>
    </w:p>
    <w:p>
      <w:pPr>
        <w:tabs>
          <w:tab w:val="center" w:pos="4827"/>
        </w:tabs>
        <w:ind w:firstLine="640"/>
      </w:pPr>
    </w:p>
    <w:p>
      <w:pPr>
        <w:tabs>
          <w:tab w:val="center" w:pos="4827"/>
        </w:tabs>
        <w:ind w:firstLine="640"/>
      </w:pPr>
      <w:bookmarkStart w:id="46" w:name="_GoBack"/>
      <w:bookmarkEnd w:id="46"/>
      <w:r>
        <w:tab/>
      </w:r>
      <w:r>
        <w:rPr>
          <w:rFonts w:hint="eastAsia"/>
        </w:rPr>
        <w:t>前言：“十四五”时期是我国巩固提升全面小康社会，推动乡村振兴战略，全面开启社会主义现代化建设新征程的第一个五年。为进一步夯实钦州市现代特色农业示范区发展基础，促进钦州市农业农村高质量发展，根据《广西现代特色农业示范区高质量建设五年行动方案</w:t>
      </w:r>
      <w:r>
        <w:rPr>
          <w:rFonts w:hint="eastAsia"/>
          <w:color w:val="000000" w:themeColor="text1"/>
          <w14:textFill>
            <w14:solidFill>
              <w14:schemeClr w14:val="tx1"/>
            </w14:solidFill>
          </w14:textFill>
        </w:rPr>
        <w:t>（2021-2025年）</w:t>
      </w:r>
      <w:r>
        <w:rPr>
          <w:rFonts w:hint="eastAsia"/>
        </w:rPr>
        <w:t>》精神和广西壮族自治区、钦州市推进农业农村现代化发展的总体部署，编制《钦州市现代特色农业示范区“十四五”建设规划》。本规划立足钦州市现代特色农业示范区发展实际，主要阐明了“十三五”时期钦州市现代特色农业示范区建设取得的重大成就以及“十四五”时期面临的机遇与挑战，重点是围绕产业兴旺这一目标，明确钦州市“十四五”期间现代特色农业示范区发展的总体思路、发展目标和主要任务，制定相应的实施路径和保障措施。本规划是“十四五”时期钦州市现代特色农业示范区发展的指导性文件。</w:t>
      </w:r>
    </w:p>
    <w:p>
      <w:pPr>
        <w:ind w:firstLine="640"/>
        <w:rPr>
          <w:color w:val="FF0000"/>
        </w:rPr>
      </w:pPr>
      <w:r>
        <mc:AlternateContent>
          <mc:Choice Requires="wps">
            <w:drawing>
              <wp:anchor distT="0" distB="0" distL="114300" distR="114300" simplePos="0" relativeHeight="251660288" behindDoc="0" locked="0" layoutInCell="1" allowOverlap="1">
                <wp:simplePos x="0" y="0"/>
                <wp:positionH relativeFrom="column">
                  <wp:posOffset>2715895</wp:posOffset>
                </wp:positionH>
                <wp:positionV relativeFrom="paragraph">
                  <wp:posOffset>3783330</wp:posOffset>
                </wp:positionV>
                <wp:extent cx="752475" cy="361950"/>
                <wp:effectExtent l="0" t="0" r="9525" b="0"/>
                <wp:wrapNone/>
                <wp:docPr id="10" name="矩形 10"/>
                <wp:cNvGraphicFramePr/>
                <a:graphic xmlns:a="http://schemas.openxmlformats.org/drawingml/2006/main">
                  <a:graphicData uri="http://schemas.microsoft.com/office/word/2010/wordprocessingShape">
                    <wps:wsp>
                      <wps:cNvSpPr/>
                      <wps:spPr>
                        <a:xfrm>
                          <a:off x="0" y="0"/>
                          <a:ext cx="752475" cy="3619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3.85pt;margin-top:297.9pt;height:28.5pt;width:59.25pt;z-index:251660288;v-text-anchor:middle;mso-width-relative:page;mso-height-relative:page;" fillcolor="#FFFFFF [3212]" filled="t" stroked="f" coordsize="21600,21600" o:gfxdata="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P5eHY1wAAAAsBAAAPAAAAAAAAAAEAIAAAACIA&#10;AABkcnMvZG93bnJldi54bWxQSwECFAAUAAAACACHTuJABiMr10MCAABnBAAADgAAAAAAAAABACAA&#10;AAAmAQAAZHJzL2Uyb0RvYy54bWxQSwUGAAAAAAYABgBZAQAA2wUAAAAA&#10;">
                <v:fill on="t" focussize="0,0"/>
                <v:stroke on="f" weight="2pt"/>
                <v:imagedata o:title=""/>
                <o:lock v:ext="edit" aspectratio="f"/>
              </v:rect>
            </w:pict>
          </mc:Fallback>
        </mc:AlternateContent>
      </w:r>
      <w:r>
        <w:rPr>
          <w:rFonts w:hint="eastAsia"/>
          <w:color w:val="FF0000"/>
        </w:rPr>
        <w:br w:type="page"/>
      </w:r>
    </w:p>
    <w:sdt>
      <w:sdtPr>
        <w:rPr>
          <w:rFonts w:ascii="宋体" w:hAnsi="宋体" w:eastAsia="宋体"/>
          <w:sz w:val="21"/>
        </w:rPr>
        <w:id w:val="147476223"/>
        <w:docPartObj>
          <w:docPartGallery w:val="Table of Contents"/>
          <w:docPartUnique/>
        </w:docPartObj>
      </w:sdtPr>
      <w:sdtEndPr>
        <w:rPr>
          <w:rFonts w:hint="eastAsia" w:ascii="仿宋" w:hAnsi="Times New Roman" w:eastAsia="仿宋"/>
          <w:b/>
          <w:sz w:val="28"/>
          <w:szCs w:val="22"/>
        </w:rPr>
      </w:sdtEndPr>
      <w:sdtContent>
        <w:p>
          <w:pPr>
            <w:spacing w:line="240" w:lineRule="auto"/>
            <w:ind w:firstLine="420"/>
            <w:jc w:val="center"/>
            <w:rPr>
              <w:rFonts w:ascii="仿宋_GB2312"/>
              <w:b/>
              <w:bCs/>
              <w:sz w:val="44"/>
              <w:szCs w:val="44"/>
            </w:rPr>
          </w:pPr>
          <w:r>
            <w:rPr>
              <w:rFonts w:hint="eastAsia" w:ascii="仿宋_GB2312" w:hAnsi="宋体"/>
              <w:b/>
              <w:bCs/>
              <w:sz w:val="44"/>
              <w:szCs w:val="44"/>
            </w:rPr>
            <w:t>目录</w:t>
          </w:r>
        </w:p>
        <w:p>
          <w:pPr>
            <w:pStyle w:val="16"/>
            <w:tabs>
              <w:tab w:val="left" w:pos="1260"/>
              <w:tab w:val="right" w:leader="dot" w:pos="9004"/>
            </w:tabs>
            <w:rPr>
              <w:rFonts w:asciiTheme="minorHAnsi" w:hAnsiTheme="minorHAnsi" w:eastAsiaTheme="minorEastAsia" w:cstheme="minorBidi"/>
              <w:b w:val="0"/>
              <w:sz w:val="21"/>
              <w:szCs w:val="22"/>
            </w:rPr>
          </w:pPr>
          <w:bookmarkStart w:id="0" w:name="_Hlk90561733"/>
          <w:r>
            <w:rPr>
              <w:b w:val="0"/>
              <w:szCs w:val="22"/>
            </w:rPr>
            <w:fldChar w:fldCharType="begin"/>
          </w:r>
          <w:r>
            <w:rPr>
              <w:b w:val="0"/>
              <w:szCs w:val="22"/>
            </w:rPr>
            <w:instrText xml:space="preserve"> TOC \o "1-2" \h \z \u </w:instrText>
          </w:r>
          <w:r>
            <w:rPr>
              <w:b w:val="0"/>
              <w:szCs w:val="22"/>
            </w:rPr>
            <w:fldChar w:fldCharType="separate"/>
          </w:r>
          <w:r>
            <w:fldChar w:fldCharType="begin"/>
          </w:r>
          <w:r>
            <w:instrText xml:space="preserve"> HYPERLINK \l "_Toc119667476" </w:instrText>
          </w:r>
          <w:r>
            <w:fldChar w:fldCharType="separate"/>
          </w:r>
          <w:r>
            <w:rPr>
              <w:rStyle w:val="27"/>
            </w:rPr>
            <w:t>第一章</w:t>
          </w:r>
          <w:r>
            <w:rPr>
              <w:rFonts w:asciiTheme="minorHAnsi" w:hAnsiTheme="minorHAnsi" w:eastAsiaTheme="minorEastAsia" w:cstheme="minorBidi"/>
              <w:b w:val="0"/>
              <w:sz w:val="21"/>
              <w:szCs w:val="22"/>
            </w:rPr>
            <w:tab/>
          </w:r>
          <w:r>
            <w:rPr>
              <w:rStyle w:val="27"/>
            </w:rPr>
            <w:t>规划背景与意义</w:t>
          </w:r>
          <w:r>
            <w:tab/>
          </w:r>
          <w:r>
            <w:fldChar w:fldCharType="begin"/>
          </w:r>
          <w:r>
            <w:instrText xml:space="preserve"> PAGEREF _Toc119667476 \h </w:instrText>
          </w:r>
          <w:r>
            <w:fldChar w:fldCharType="separate"/>
          </w:r>
          <w:r>
            <w:t>- 1 -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"_Toc119667477" </w:instrText>
          </w:r>
          <w:r>
            <w:fldChar w:fldCharType="separate"/>
          </w:r>
          <w:r>
            <w:rPr>
              <w:rStyle w:val="27"/>
            </w:rPr>
            <w:t>第一节 规划背景</w:t>
          </w:r>
          <w:r>
            <w:tab/>
          </w:r>
          <w:r>
            <w:fldChar w:fldCharType="begin"/>
          </w:r>
          <w:r>
            <w:instrText xml:space="preserve"> PAGEREF _Toc119667477 \h </w:instrText>
          </w:r>
          <w:r>
            <w:fldChar w:fldCharType="separate"/>
          </w:r>
          <w:r>
            <w:t>- 1 -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"_Toc119667478" </w:instrText>
          </w:r>
          <w:r>
            <w:fldChar w:fldCharType="separate"/>
          </w:r>
          <w:r>
            <w:rPr>
              <w:rStyle w:val="27"/>
            </w:rPr>
            <w:t>第二节 规划意义</w:t>
          </w:r>
          <w:r>
            <w:tab/>
          </w:r>
          <w:r>
            <w:fldChar w:fldCharType="begin"/>
          </w:r>
          <w:r>
            <w:instrText xml:space="preserve"> PAGEREF _Toc119667478 \h </w:instrText>
          </w:r>
          <w:r>
            <w:fldChar w:fldCharType="separate"/>
          </w:r>
          <w:r>
            <w:t>- 2 -</w:t>
          </w:r>
          <w:r>
            <w:fldChar w:fldCharType="end"/>
          </w:r>
          <w:r>
            <w:fldChar w:fldCharType="end"/>
          </w:r>
        </w:p>
        <w:p>
          <w:pPr>
            <w:pStyle w:val="16"/>
            <w:tabs>
              <w:tab w:val="left" w:pos="1260"/>
              <w:tab w:val="right" w:leader="dot" w:pos="9004"/>
            </w:tabs>
            <w:rPr>
              <w:rFonts w:asciiTheme="minorHAnsi" w:hAnsiTheme="minorHAnsi" w:eastAsiaTheme="minorEastAsia" w:cstheme="minorBidi"/>
              <w:b w:val="0"/>
              <w:sz w:val="21"/>
              <w:szCs w:val="22"/>
            </w:rPr>
          </w:pPr>
          <w:r>
            <w:fldChar w:fldCharType="begin"/>
          </w:r>
          <w:r>
            <w:instrText xml:space="preserve"> HYPERLINK \l "_Toc119667479" </w:instrText>
          </w:r>
          <w:r>
            <w:fldChar w:fldCharType="separate"/>
          </w:r>
          <w:r>
            <w:rPr>
              <w:rStyle w:val="27"/>
            </w:rPr>
            <w:t>第二章</w:t>
          </w:r>
          <w:r>
            <w:rPr>
              <w:rFonts w:asciiTheme="minorHAnsi" w:hAnsiTheme="minorHAnsi" w:eastAsiaTheme="minorEastAsia" w:cstheme="minorBidi"/>
              <w:b w:val="0"/>
              <w:sz w:val="21"/>
              <w:szCs w:val="22"/>
            </w:rPr>
            <w:tab/>
          </w:r>
          <w:r>
            <w:rPr>
              <w:rStyle w:val="27"/>
            </w:rPr>
            <w:t>发展基础与发展环境</w:t>
          </w:r>
          <w:r>
            <w:tab/>
          </w:r>
          <w:r>
            <w:fldChar w:fldCharType="begin"/>
          </w:r>
          <w:r>
            <w:instrText xml:space="preserve"> PAGEREF _Toc119667479 \h </w:instrText>
          </w:r>
          <w:r>
            <w:fldChar w:fldCharType="separate"/>
          </w:r>
          <w:r>
            <w:t>- 5 -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"_Toc119667480" </w:instrText>
          </w:r>
          <w:r>
            <w:fldChar w:fldCharType="separate"/>
          </w:r>
          <w:r>
            <w:rPr>
              <w:rStyle w:val="27"/>
            </w:rPr>
            <w:t>第一节 发展基础</w:t>
          </w:r>
          <w:r>
            <w:tab/>
          </w:r>
          <w:r>
            <w:fldChar w:fldCharType="begin"/>
          </w:r>
          <w:r>
            <w:instrText xml:space="preserve"> PAGEREF _Toc119667480 \h </w:instrText>
          </w:r>
          <w:r>
            <w:fldChar w:fldCharType="separate"/>
          </w:r>
          <w:r>
            <w:t>- 5 -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"_Toc119667481" </w:instrText>
          </w:r>
          <w:r>
            <w:fldChar w:fldCharType="separate"/>
          </w:r>
          <w:r>
            <w:rPr>
              <w:rStyle w:val="27"/>
            </w:rPr>
            <w:t>第二节 发展环境</w:t>
          </w:r>
          <w:r>
            <w:tab/>
          </w:r>
          <w:r>
            <w:fldChar w:fldCharType="begin"/>
          </w:r>
          <w:r>
            <w:instrText xml:space="preserve"> PAGEREF _Toc119667481 \h </w:instrText>
          </w:r>
          <w:r>
            <w:fldChar w:fldCharType="separate"/>
          </w:r>
          <w:r>
            <w:t>- 8 -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"_Toc119667482" </w:instrText>
          </w:r>
          <w:r>
            <w:fldChar w:fldCharType="separate"/>
          </w:r>
          <w:r>
            <w:rPr>
              <w:rStyle w:val="27"/>
            </w:rPr>
            <w:t>第三章 总体要求</w:t>
          </w:r>
          <w:r>
            <w:tab/>
          </w:r>
          <w:r>
            <w:fldChar w:fldCharType="begin"/>
          </w:r>
          <w:r>
            <w:instrText xml:space="preserve"> PAGEREF _Toc119667482 \h </w:instrText>
          </w:r>
          <w:r>
            <w:fldChar w:fldCharType="separate"/>
          </w:r>
          <w:r>
            <w:t>- 13 -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"_Toc119667483" </w:instrText>
          </w:r>
          <w:r>
            <w:fldChar w:fldCharType="separate"/>
          </w:r>
          <w:r>
            <w:rPr>
              <w:rStyle w:val="27"/>
            </w:rPr>
            <w:t>第一节 指导思想</w:t>
          </w:r>
          <w:r>
            <w:tab/>
          </w:r>
          <w:r>
            <w:fldChar w:fldCharType="begin"/>
          </w:r>
          <w:r>
            <w:instrText xml:space="preserve"> PAGEREF _Toc119667483 \h </w:instrText>
          </w:r>
          <w:r>
            <w:fldChar w:fldCharType="separate"/>
          </w:r>
          <w:r>
            <w:t>- 13 -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"_Toc119667484" </w:instrText>
          </w:r>
          <w:r>
            <w:fldChar w:fldCharType="separate"/>
          </w:r>
          <w:r>
            <w:rPr>
              <w:rStyle w:val="27"/>
            </w:rPr>
            <w:t>第二节 基本原则</w:t>
          </w:r>
          <w:r>
            <w:tab/>
          </w:r>
          <w:r>
            <w:fldChar w:fldCharType="begin"/>
          </w:r>
          <w:r>
            <w:instrText xml:space="preserve"> PAGEREF _Toc119667484 \h </w:instrText>
          </w:r>
          <w:r>
            <w:fldChar w:fldCharType="separate"/>
          </w:r>
          <w:r>
            <w:t>- 13 -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"_Toc119667485" </w:instrText>
          </w:r>
          <w:r>
            <w:fldChar w:fldCharType="separate"/>
          </w:r>
          <w:r>
            <w:rPr>
              <w:rStyle w:val="27"/>
            </w:rPr>
            <w:t>第三节 发展定位</w:t>
          </w:r>
          <w:r>
            <w:tab/>
          </w:r>
          <w:r>
            <w:fldChar w:fldCharType="begin"/>
          </w:r>
          <w:r>
            <w:instrText xml:space="preserve"> PAGEREF _Toc119667485 \h </w:instrText>
          </w:r>
          <w:r>
            <w:fldChar w:fldCharType="separate"/>
          </w:r>
          <w:r>
            <w:t>- 14 -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"_Toc119667486" </w:instrText>
          </w:r>
          <w:r>
            <w:fldChar w:fldCharType="separate"/>
          </w:r>
          <w:r>
            <w:rPr>
              <w:rStyle w:val="27"/>
            </w:rPr>
            <w:t>第四节 发展目标</w:t>
          </w:r>
          <w:r>
            <w:tab/>
          </w:r>
          <w:r>
            <w:fldChar w:fldCharType="begin"/>
          </w:r>
          <w:r>
            <w:instrText xml:space="preserve"> PAGEREF _Toc119667486 \h </w:instrText>
          </w:r>
          <w:r>
            <w:fldChar w:fldCharType="separate"/>
          </w:r>
          <w:r>
            <w:t>- 16 -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"_Toc119667487" </w:instrText>
          </w:r>
          <w:r>
            <w:fldChar w:fldCharType="separate"/>
          </w:r>
          <w:r>
            <w:rPr>
              <w:rStyle w:val="27"/>
            </w:rPr>
            <w:t>第四章 总体布局</w:t>
          </w:r>
          <w:r>
            <w:tab/>
          </w:r>
          <w:r>
            <w:fldChar w:fldCharType="begin"/>
          </w:r>
          <w:r>
            <w:instrText xml:space="preserve"> PAGEREF _Toc119667487 \h </w:instrText>
          </w:r>
          <w:r>
            <w:fldChar w:fldCharType="separate"/>
          </w:r>
          <w:r>
            <w:t>- 19 -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"_Toc119667488" </w:instrText>
          </w:r>
          <w:r>
            <w:fldChar w:fldCharType="separate"/>
          </w:r>
          <w:r>
            <w:rPr>
              <w:rStyle w:val="27"/>
            </w:rPr>
            <w:t>第一节 空间布局</w:t>
          </w:r>
          <w:r>
            <w:tab/>
          </w:r>
          <w:r>
            <w:fldChar w:fldCharType="begin"/>
          </w:r>
          <w:r>
            <w:instrText xml:space="preserve"> PAGEREF _Toc119667488 \h </w:instrText>
          </w:r>
          <w:r>
            <w:fldChar w:fldCharType="separate"/>
          </w:r>
          <w:r>
            <w:t>- 19 -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"_Toc119667489" </w:instrText>
          </w:r>
          <w:r>
            <w:fldChar w:fldCharType="separate"/>
          </w:r>
          <w:r>
            <w:rPr>
              <w:rStyle w:val="27"/>
            </w:rPr>
            <w:t>第二节 产业布局</w:t>
          </w:r>
          <w:r>
            <w:tab/>
          </w:r>
          <w:r>
            <w:fldChar w:fldCharType="begin"/>
          </w:r>
          <w:r>
            <w:instrText xml:space="preserve"> PAGEREF _Toc119667489 \h </w:instrText>
          </w:r>
          <w:r>
            <w:fldChar w:fldCharType="separate"/>
          </w:r>
          <w:r>
            <w:t>- 22 -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"_Toc119667490" </w:instrText>
          </w:r>
          <w:r>
            <w:fldChar w:fldCharType="separate"/>
          </w:r>
          <w:r>
            <w:rPr>
              <w:rStyle w:val="27"/>
            </w:rPr>
            <w:t>第五章 重点任务</w:t>
          </w:r>
          <w:r>
            <w:tab/>
          </w:r>
          <w:r>
            <w:fldChar w:fldCharType="begin"/>
          </w:r>
          <w:r>
            <w:instrText xml:space="preserve"> PAGEREF _Toc119667490 \h </w:instrText>
          </w:r>
          <w:r>
            <w:fldChar w:fldCharType="separate"/>
          </w:r>
          <w:r>
            <w:t>- 24 -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"_Toc119667491" </w:instrText>
          </w:r>
          <w:r>
            <w:fldChar w:fldCharType="separate"/>
          </w:r>
          <w:r>
            <w:rPr>
              <w:rStyle w:val="27"/>
              <w:rFonts w:hAnsi="仿宋"/>
            </w:rPr>
            <w:t>第一节 统筹推进区域联动建设，形成示范区梯次发展格局</w:t>
          </w:r>
          <w:r>
            <w:tab/>
          </w:r>
          <w:r>
            <w:fldChar w:fldCharType="begin"/>
          </w:r>
          <w:r>
            <w:instrText xml:space="preserve"> PAGEREF _Toc119667491 \h </w:instrText>
          </w:r>
          <w:r>
            <w:fldChar w:fldCharType="separate"/>
          </w:r>
          <w:r>
            <w:t>- 24 -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"_Toc119667492" </w:instrText>
          </w:r>
          <w:r>
            <w:fldChar w:fldCharType="separate"/>
          </w:r>
          <w:r>
            <w:rPr>
              <w:rStyle w:val="27"/>
            </w:rPr>
            <w:t>第二节 综合提升科技支撑能力，促进示范区科技发展</w:t>
          </w:r>
          <w:r>
            <w:tab/>
          </w:r>
          <w:r>
            <w:fldChar w:fldCharType="begin"/>
          </w:r>
          <w:r>
            <w:instrText xml:space="preserve"> PAGEREF _Toc119667492 \h </w:instrText>
          </w:r>
          <w:r>
            <w:fldChar w:fldCharType="separate"/>
          </w:r>
          <w:r>
            <w:t>- 25 -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"_Toc119667493" </w:instrText>
          </w:r>
          <w:r>
            <w:fldChar w:fldCharType="separate"/>
          </w:r>
          <w:r>
            <w:rPr>
              <w:rStyle w:val="27"/>
            </w:rPr>
            <w:t>第三节 加强基础设施建设，着力夯实示范区发展基础</w:t>
          </w:r>
          <w:r>
            <w:tab/>
          </w:r>
          <w:r>
            <w:fldChar w:fldCharType="begin"/>
          </w:r>
          <w:r>
            <w:instrText xml:space="preserve"> PAGEREF _Toc119667493 \h </w:instrText>
          </w:r>
          <w:r>
            <w:fldChar w:fldCharType="separate"/>
          </w:r>
          <w:r>
            <w:t>- 29 -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"_Toc119667494" </w:instrText>
          </w:r>
          <w:r>
            <w:fldChar w:fldCharType="separate"/>
          </w:r>
          <w:r>
            <w:rPr>
              <w:rStyle w:val="27"/>
            </w:rPr>
            <w:t>第四节 补齐产业链发展短板，推动示范区三产融合发展</w:t>
          </w:r>
          <w:r>
            <w:tab/>
          </w:r>
          <w:r>
            <w:fldChar w:fldCharType="begin"/>
          </w:r>
          <w:r>
            <w:instrText xml:space="preserve"> PAGEREF _Toc119667494 \h </w:instrText>
          </w:r>
          <w:r>
            <w:fldChar w:fldCharType="separate"/>
          </w:r>
          <w:r>
            <w:t>- 31 -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"_Toc119667495" </w:instrText>
          </w:r>
          <w:r>
            <w:fldChar w:fldCharType="separate"/>
          </w:r>
          <w:r>
            <w:rPr>
              <w:rStyle w:val="27"/>
            </w:rPr>
            <w:t>第五节 培育新型经营主体，加快构建示范区经营体系</w:t>
          </w:r>
          <w:r>
            <w:tab/>
          </w:r>
          <w:r>
            <w:fldChar w:fldCharType="begin"/>
          </w:r>
          <w:r>
            <w:instrText xml:space="preserve"> PAGEREF _Toc119667495 \h </w:instrText>
          </w:r>
          <w:r>
            <w:fldChar w:fldCharType="separate"/>
          </w:r>
          <w:r>
            <w:t>- 35 -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"_Toc119667496" </w:instrText>
          </w:r>
          <w:r>
            <w:fldChar w:fldCharType="separate"/>
          </w:r>
          <w:r>
            <w:rPr>
              <w:rStyle w:val="27"/>
            </w:rPr>
            <w:t>第六节 构建四级品牌体系，推动示范区产销一体化发展</w:t>
          </w:r>
          <w:r>
            <w:tab/>
          </w:r>
          <w:r>
            <w:fldChar w:fldCharType="begin"/>
          </w:r>
          <w:r>
            <w:instrText xml:space="preserve"> PAGEREF _Toc119667496 \h </w:instrText>
          </w:r>
          <w:r>
            <w:fldChar w:fldCharType="separate"/>
          </w:r>
          <w:r>
            <w:t>- 38 -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"_Toc119667497" </w:instrText>
          </w:r>
          <w:r>
            <w:fldChar w:fldCharType="separate"/>
          </w:r>
          <w:r>
            <w:rPr>
              <w:rStyle w:val="27"/>
            </w:rPr>
            <w:t>第七节 践行绿色发展理念，坚持走可持续发展之路</w:t>
          </w:r>
          <w:r>
            <w:tab/>
          </w:r>
          <w:r>
            <w:fldChar w:fldCharType="begin"/>
          </w:r>
          <w:r>
            <w:instrText xml:space="preserve"> PAGEREF _Toc119667497 \h </w:instrText>
          </w:r>
          <w:r>
            <w:fldChar w:fldCharType="separate"/>
          </w:r>
          <w:r>
            <w:t>- 40 -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"_Toc119667498" </w:instrText>
          </w:r>
          <w:r>
            <w:fldChar w:fldCharType="separate"/>
          </w:r>
          <w:r>
            <w:rPr>
              <w:rStyle w:val="27"/>
            </w:rPr>
            <w:t>第八节 深化农业农村综合改革，增强示范区发展的内生动力</w:t>
          </w:r>
          <w:r>
            <w:tab/>
          </w:r>
          <w:r>
            <w:fldChar w:fldCharType="begin"/>
          </w:r>
          <w:r>
            <w:instrText xml:space="preserve"> PAGEREF _Toc119667498 \h </w:instrText>
          </w:r>
          <w:r>
            <w:fldChar w:fldCharType="separate"/>
          </w:r>
          <w:r>
            <w:t>- 43 -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"_Toc119667499" </w:instrText>
          </w:r>
          <w:r>
            <w:fldChar w:fldCharType="separate"/>
          </w:r>
          <w:r>
            <w:rPr>
              <w:rStyle w:val="27"/>
            </w:rPr>
            <w:t>第六章 重点项目策划</w:t>
          </w:r>
          <w:r>
            <w:tab/>
          </w:r>
          <w:r>
            <w:fldChar w:fldCharType="begin"/>
          </w:r>
          <w:r>
            <w:instrText xml:space="preserve"> PAGEREF _Toc119667499 \h </w:instrText>
          </w:r>
          <w:r>
            <w:fldChar w:fldCharType="separate"/>
          </w:r>
          <w:r>
            <w:t>- 45 -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"_Toc119667500" </w:instrText>
          </w:r>
          <w:r>
            <w:fldChar w:fldCharType="separate"/>
          </w:r>
          <w:r>
            <w:rPr>
              <w:rStyle w:val="27"/>
            </w:rPr>
            <w:t>第一节 浦北县国家农业现代化示范区项目</w:t>
          </w:r>
          <w:r>
            <w:tab/>
          </w:r>
          <w:r>
            <w:fldChar w:fldCharType="begin"/>
          </w:r>
          <w:r>
            <w:instrText xml:space="preserve"> PAGEREF _Toc119667500 \h </w:instrText>
          </w:r>
          <w:r>
            <w:fldChar w:fldCharType="separate"/>
          </w:r>
          <w:r>
            <w:t>- 45 -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"_Toc119667501" </w:instrText>
          </w:r>
          <w:r>
            <w:fldChar w:fldCharType="separate"/>
          </w:r>
          <w:r>
            <w:rPr>
              <w:rStyle w:val="27"/>
            </w:rPr>
            <w:t>第二节 自治区级示范区提档升级重点项目</w:t>
          </w:r>
          <w:r>
            <w:tab/>
          </w:r>
          <w:r>
            <w:fldChar w:fldCharType="begin"/>
          </w:r>
          <w:r>
            <w:instrText xml:space="preserve"> PAGEREF _Toc119667501 \h </w:instrText>
          </w:r>
          <w:r>
            <w:fldChar w:fldCharType="separate"/>
          </w:r>
          <w:r>
            <w:t>- 46 -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"_Toc119667502" </w:instrText>
          </w:r>
          <w:r>
            <w:fldChar w:fldCharType="separate"/>
          </w:r>
          <w:r>
            <w:rPr>
              <w:rStyle w:val="27"/>
            </w:rPr>
            <w:t>第三节 自治区级示范区创建重点项目</w:t>
          </w:r>
          <w:r>
            <w:tab/>
          </w:r>
          <w:r>
            <w:fldChar w:fldCharType="begin"/>
          </w:r>
          <w:r>
            <w:instrText xml:space="preserve"> PAGEREF _Toc119667502 \h </w:instrText>
          </w:r>
          <w:r>
            <w:fldChar w:fldCharType="separate"/>
          </w:r>
          <w:r>
            <w:t>- 58 -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"_Toc119667503" </w:instrText>
          </w:r>
          <w:r>
            <w:fldChar w:fldCharType="separate"/>
          </w:r>
          <w:r>
            <w:rPr>
              <w:rStyle w:val="27"/>
            </w:rPr>
            <w:t>第七章 评估认定</w:t>
          </w:r>
          <w:r>
            <w:tab/>
          </w:r>
          <w:r>
            <w:fldChar w:fldCharType="begin"/>
          </w:r>
          <w:r>
            <w:instrText xml:space="preserve"> PAGEREF _Toc119667503 \h </w:instrText>
          </w:r>
          <w:r>
            <w:fldChar w:fldCharType="separate"/>
          </w:r>
          <w:r>
            <w:t>- 68 -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"_Toc119667504" </w:instrText>
          </w:r>
          <w:r>
            <w:fldChar w:fldCharType="separate"/>
          </w:r>
          <w:r>
            <w:rPr>
              <w:rStyle w:val="27"/>
              <w:rFonts w:hAnsi="仿宋"/>
            </w:rPr>
            <w:t>第一节 示范区管理机制</w:t>
          </w:r>
          <w:r>
            <w:tab/>
          </w:r>
          <w:r>
            <w:fldChar w:fldCharType="begin"/>
          </w:r>
          <w:r>
            <w:instrText xml:space="preserve"> PAGEREF _Toc119667504 \h </w:instrText>
          </w:r>
          <w:r>
            <w:fldChar w:fldCharType="separate"/>
          </w:r>
          <w:r>
            <w:t>- 68 -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"_Toc119667505" </w:instrText>
          </w:r>
          <w:r>
            <w:fldChar w:fldCharType="separate"/>
          </w:r>
          <w:r>
            <w:rPr>
              <w:rStyle w:val="27"/>
              <w:rFonts w:hAnsi="仿宋"/>
            </w:rPr>
            <w:t>第二节 示范区申报与认定</w:t>
          </w:r>
          <w:r>
            <w:tab/>
          </w:r>
          <w:r>
            <w:fldChar w:fldCharType="begin"/>
          </w:r>
          <w:r>
            <w:instrText xml:space="preserve"> PAGEREF _Toc119667505 \h </w:instrText>
          </w:r>
          <w:r>
            <w:fldChar w:fldCharType="separate"/>
          </w:r>
          <w:r>
            <w:t>- 69 -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"_Toc119667506" </w:instrText>
          </w:r>
          <w:r>
            <w:fldChar w:fldCharType="separate"/>
          </w:r>
          <w:r>
            <w:rPr>
              <w:rStyle w:val="27"/>
            </w:rPr>
            <w:t>第八章 保障措施</w:t>
          </w:r>
          <w:r>
            <w:tab/>
          </w:r>
          <w:r>
            <w:fldChar w:fldCharType="begin"/>
          </w:r>
          <w:r>
            <w:instrText xml:space="preserve"> PAGEREF _Toc119667506 \h </w:instrText>
          </w:r>
          <w:r>
            <w:fldChar w:fldCharType="separate"/>
          </w:r>
          <w:r>
            <w:t>- 71 -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"_Toc119667507" </w:instrText>
          </w:r>
          <w:r>
            <w:fldChar w:fldCharType="separate"/>
          </w:r>
          <w:r>
            <w:rPr>
              <w:rStyle w:val="27"/>
            </w:rPr>
            <w:t>第一节 政策保障</w:t>
          </w:r>
          <w:r>
            <w:tab/>
          </w:r>
          <w:r>
            <w:fldChar w:fldCharType="begin"/>
          </w:r>
          <w:r>
            <w:instrText xml:space="preserve"> PAGEREF _Toc119667507 \h </w:instrText>
          </w:r>
          <w:r>
            <w:fldChar w:fldCharType="separate"/>
          </w:r>
          <w:r>
            <w:t>- 71 -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"_Toc119667508" </w:instrText>
          </w:r>
          <w:r>
            <w:fldChar w:fldCharType="separate"/>
          </w:r>
          <w:r>
            <w:rPr>
              <w:rStyle w:val="27"/>
            </w:rPr>
            <w:t>第二节 组织保障</w:t>
          </w:r>
          <w:r>
            <w:tab/>
          </w:r>
          <w:r>
            <w:fldChar w:fldCharType="begin"/>
          </w:r>
          <w:r>
            <w:instrText xml:space="preserve"> PAGEREF _Toc119667508 \h </w:instrText>
          </w:r>
          <w:r>
            <w:fldChar w:fldCharType="separate"/>
          </w:r>
          <w:r>
            <w:t>- 72 -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"_Toc119667509" </w:instrText>
          </w:r>
          <w:r>
            <w:fldChar w:fldCharType="separate"/>
          </w:r>
          <w:r>
            <w:rPr>
              <w:rStyle w:val="27"/>
            </w:rPr>
            <w:t>第三节 土地保障</w:t>
          </w:r>
          <w:r>
            <w:tab/>
          </w:r>
          <w:r>
            <w:fldChar w:fldCharType="begin"/>
          </w:r>
          <w:r>
            <w:instrText xml:space="preserve"> PAGEREF _Toc119667509 \h </w:instrText>
          </w:r>
          <w:r>
            <w:fldChar w:fldCharType="separate"/>
          </w:r>
          <w:r>
            <w:t>- 72 -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"_Toc119667510" </w:instrText>
          </w:r>
          <w:r>
            <w:fldChar w:fldCharType="separate"/>
          </w:r>
          <w:r>
            <w:rPr>
              <w:rStyle w:val="27"/>
            </w:rPr>
            <w:t>第四节 资金保障</w:t>
          </w:r>
          <w:r>
            <w:tab/>
          </w:r>
          <w:r>
            <w:fldChar w:fldCharType="begin"/>
          </w:r>
          <w:r>
            <w:instrText xml:space="preserve"> PAGEREF _Toc119667510 \h </w:instrText>
          </w:r>
          <w:r>
            <w:fldChar w:fldCharType="separate"/>
          </w:r>
          <w:r>
            <w:t>- 73 -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"_Toc119667511" </w:instrText>
          </w:r>
          <w:r>
            <w:fldChar w:fldCharType="separate"/>
          </w:r>
          <w:r>
            <w:rPr>
              <w:rStyle w:val="27"/>
            </w:rPr>
            <w:t>第五节 科技保障</w:t>
          </w:r>
          <w:r>
            <w:tab/>
          </w:r>
          <w:r>
            <w:fldChar w:fldCharType="begin"/>
          </w:r>
          <w:r>
            <w:instrText xml:space="preserve"> PAGEREF _Toc119667511 \h </w:instrText>
          </w:r>
          <w:r>
            <w:fldChar w:fldCharType="separate"/>
          </w:r>
          <w:r>
            <w:t>- 74 -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"_Toc119667512" </w:instrText>
          </w:r>
          <w:r>
            <w:fldChar w:fldCharType="separate"/>
          </w:r>
          <w:r>
            <w:rPr>
              <w:rStyle w:val="27"/>
            </w:rPr>
            <w:t>第六节 人才保障</w:t>
          </w:r>
          <w:r>
            <w:tab/>
          </w:r>
          <w:r>
            <w:fldChar w:fldCharType="begin"/>
          </w:r>
          <w:r>
            <w:instrText xml:space="preserve"> PAGEREF _Toc119667512 \h </w:instrText>
          </w:r>
          <w:r>
            <w:fldChar w:fldCharType="separate"/>
          </w:r>
          <w:r>
            <w:t>- 75 -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"_Toc119667513" </w:instrText>
          </w:r>
          <w:r>
            <w:fldChar w:fldCharType="separate"/>
          </w:r>
          <w:r>
            <w:rPr>
              <w:rStyle w:val="27"/>
            </w:rPr>
            <w:t>第七节 监管保障</w:t>
          </w:r>
          <w:r>
            <w:tab/>
          </w:r>
          <w:r>
            <w:fldChar w:fldCharType="begin"/>
          </w:r>
          <w:r>
            <w:instrText xml:space="preserve"> PAGEREF _Toc119667513 \h </w:instrText>
          </w:r>
          <w:r>
            <w:fldChar w:fldCharType="separate"/>
          </w:r>
          <w:r>
            <w:t>- 75 -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"_Toc119667514" </w:instrText>
          </w:r>
          <w:r>
            <w:fldChar w:fldCharType="separate"/>
          </w:r>
          <w:r>
            <w:rPr>
              <w:rStyle w:val="27"/>
            </w:rPr>
            <w:t>第八节 加大招商引资力度</w:t>
          </w:r>
          <w:r>
            <w:tab/>
          </w:r>
          <w:r>
            <w:fldChar w:fldCharType="begin"/>
          </w:r>
          <w:r>
            <w:instrText xml:space="preserve"> PAGEREF _Toc119667514 \h </w:instrText>
          </w:r>
          <w:r>
            <w:fldChar w:fldCharType="separate"/>
          </w:r>
          <w:r>
            <w:t>- 76 -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"_Toc119667515" </w:instrText>
          </w:r>
          <w:r>
            <w:fldChar w:fldCharType="separate"/>
          </w:r>
          <w:r>
            <w:rPr>
              <w:rStyle w:val="27"/>
            </w:rPr>
            <w:t>附件1 建设任务分解表</w:t>
          </w:r>
          <w:r>
            <w:tab/>
          </w:r>
          <w:r>
            <w:fldChar w:fldCharType="begin"/>
          </w:r>
          <w:r>
            <w:instrText xml:space="preserve"> PAGEREF _Toc119667515 \h </w:instrText>
          </w:r>
          <w:r>
            <w:fldChar w:fldCharType="separate"/>
          </w:r>
          <w:r>
            <w:t>- 77 -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"_Toc119667516" </w:instrText>
          </w:r>
          <w:r>
            <w:fldChar w:fldCharType="separate"/>
          </w:r>
          <w:r>
            <w:rPr>
              <w:rStyle w:val="27"/>
            </w:rPr>
            <w:t>附件2 发展规划表</w:t>
          </w:r>
          <w:r>
            <w:tab/>
          </w:r>
          <w:r>
            <w:fldChar w:fldCharType="begin"/>
          </w:r>
          <w:r>
            <w:instrText xml:space="preserve"> PAGEREF _Toc119667516 \h </w:instrText>
          </w:r>
          <w:r>
            <w:fldChar w:fldCharType="separate"/>
          </w:r>
          <w:r>
            <w:t>- 78 -</w:t>
          </w:r>
          <w:r>
            <w:fldChar w:fldCharType="end"/>
          </w:r>
          <w:r>
            <w:fldChar w:fldCharType="end"/>
          </w:r>
        </w:p>
        <w:p>
          <w:pPr>
            <w:pStyle w:val="16"/>
            <w:tabs>
              <w:tab w:val="right" w:leader="dot" w:pos="9004"/>
            </w:tabs>
            <w:rPr>
              <w:rFonts w:asciiTheme="minorHAnsi" w:hAnsiTheme="minorHAnsi" w:eastAsiaTheme="minorEastAsia" w:cstheme="minorBidi"/>
              <w:b w:val="0"/>
              <w:sz w:val="21"/>
              <w:szCs w:val="22"/>
            </w:rPr>
          </w:pPr>
          <w:r>
            <w:fldChar w:fldCharType="begin"/>
          </w:r>
          <w:r>
            <w:instrText xml:space="preserve"> HYPERLINK \l "_Toc119667517" </w:instrText>
          </w:r>
          <w:r>
            <w:fldChar w:fldCharType="separate"/>
          </w:r>
          <w:r>
            <w:rPr>
              <w:rStyle w:val="27"/>
            </w:rPr>
            <w:t>附图</w:t>
          </w:r>
          <w:r>
            <w:tab/>
          </w:r>
          <w:r>
            <w:fldChar w:fldCharType="begin"/>
          </w:r>
          <w:r>
            <w:instrText xml:space="preserve"> PAGEREF _Toc119667517 \h </w:instrText>
          </w:r>
          <w:r>
            <w:fldChar w:fldCharType="separate"/>
          </w:r>
          <w:r>
            <w:t>- 84 -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"_Toc119667518" </w:instrText>
          </w:r>
          <w:r>
            <w:fldChar w:fldCharType="separate"/>
          </w:r>
          <w:r>
            <w:rPr>
              <w:rStyle w:val="27"/>
              <w:rFonts w:hAnsi="仿宋"/>
            </w:rPr>
            <w:t>示范区现状分布图</w:t>
          </w:r>
          <w:r>
            <w:tab/>
          </w:r>
          <w:r>
            <w:fldChar w:fldCharType="begin"/>
          </w:r>
          <w:r>
            <w:instrText xml:space="preserve"> PAGEREF _Toc119667518 \h </w:instrText>
          </w:r>
          <w:r>
            <w:fldChar w:fldCharType="separate"/>
          </w:r>
          <w:r>
            <w:t>- 85 -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"_Toc119667519" </w:instrText>
          </w:r>
          <w:r>
            <w:fldChar w:fldCharType="separate"/>
          </w:r>
          <w:r>
            <w:rPr>
              <w:rStyle w:val="27"/>
              <w:rFonts w:hAnsi="仿宋"/>
            </w:rPr>
            <w:t>示范区空间布局图</w:t>
          </w:r>
          <w:r>
            <w:tab/>
          </w:r>
          <w:r>
            <w:fldChar w:fldCharType="begin"/>
          </w:r>
          <w:r>
            <w:instrText xml:space="preserve"> PAGEREF _Toc119667519 \h </w:instrText>
          </w:r>
          <w:r>
            <w:fldChar w:fldCharType="separate"/>
          </w:r>
          <w:r>
            <w:t>- 86 -</w:t>
          </w:r>
          <w:r>
            <w:fldChar w:fldCharType="end"/>
          </w:r>
          <w:r>
            <w:fldChar w:fldCharType="end"/>
          </w:r>
        </w:p>
        <w:p>
          <w:pPr>
            <w:pStyle w:val="19"/>
            <w:tabs>
              <w:tab w:val="right" w:leader="dot" w:pos="9004"/>
            </w:tabs>
            <w:ind w:left="640"/>
            <w:rPr>
              <w:rFonts w:asciiTheme="minorHAnsi" w:hAnsiTheme="minorHAnsi" w:eastAsiaTheme="minorEastAsia" w:cstheme="minorBidi"/>
              <w:sz w:val="21"/>
              <w:szCs w:val="22"/>
            </w:rPr>
          </w:pPr>
          <w:r>
            <w:fldChar w:fldCharType="begin"/>
          </w:r>
          <w:r>
            <w:instrText xml:space="preserve"> HYPERLINK \l "_Toc119667520" </w:instrText>
          </w:r>
          <w:r>
            <w:fldChar w:fldCharType="separate"/>
          </w:r>
          <w:r>
            <w:rPr>
              <w:rStyle w:val="27"/>
              <w:rFonts w:hAnsi="仿宋"/>
            </w:rPr>
            <w:t>示范区规划布局图</w:t>
          </w:r>
          <w:r>
            <w:tab/>
          </w:r>
          <w:r>
            <w:fldChar w:fldCharType="begin"/>
          </w:r>
          <w:r>
            <w:instrText xml:space="preserve"> PAGEREF _Toc119667520 \h </w:instrText>
          </w:r>
          <w:r>
            <w:fldChar w:fldCharType="separate"/>
          </w:r>
          <w:r>
            <w:t>- 87 -</w:t>
          </w:r>
          <w:r>
            <w:fldChar w:fldCharType="end"/>
          </w:r>
          <w:r>
            <w:fldChar w:fldCharType="end"/>
          </w:r>
        </w:p>
        <w:p>
          <w:pPr>
            <w:ind w:firstLine="0" w:firstLineChars="0"/>
            <w:rPr>
              <w:sz w:val="28"/>
              <w:szCs w:val="22"/>
            </w:rPr>
            <w:sectPr>
              <w:headerReference r:id="rId5" w:type="first"/>
              <w:footerReference r:id="rId8" w:type="first"/>
              <w:headerReference r:id="rId3" w:type="default"/>
              <w:footerReference r:id="rId6" w:type="default"/>
              <w:headerReference r:id="rId4" w:type="even"/>
              <w:footerReference r:id="rId7" w:type="even"/>
              <w:pgSz w:w="11906" w:h="16838"/>
              <w:pgMar w:top="1701" w:right="1418" w:bottom="1418" w:left="1474" w:header="851" w:footer="992" w:gutter="0"/>
              <w:pgNumType w:fmt="numberInDash"/>
              <w:cols w:space="0" w:num="1"/>
              <w:titlePg/>
              <w:docGrid w:type="lines" w:linePitch="584" w:charSpace="-849"/>
            </w:sectPr>
          </w:pPr>
          <w:r>
            <w:rPr>
              <w:b/>
              <w:sz w:val="28"/>
              <w:szCs w:val="22"/>
            </w:rPr>
            <w:fldChar w:fldCharType="end"/>
          </w:r>
        </w:p>
      </w:sdtContent>
    </w:sdt>
    <w:bookmarkEnd w:id="0"/>
    <w:p>
      <w:pPr>
        <w:pStyle w:val="3"/>
        <w:numPr>
          <w:ilvl w:val="0"/>
          <w:numId w:val="1"/>
        </w:numPr>
      </w:pPr>
      <w:bookmarkStart w:id="1" w:name="_Toc119667476"/>
      <w:r>
        <w:rPr>
          <w:rFonts w:hint="eastAsia"/>
        </w:rPr>
        <w:t>规划背景与意义</w:t>
      </w:r>
      <w:bookmarkEnd w:id="1"/>
    </w:p>
    <w:p>
      <w:pPr>
        <w:ind w:firstLine="640"/>
      </w:pPr>
    </w:p>
    <w:p>
      <w:pPr>
        <w:pStyle w:val="4"/>
        <w:spacing w:after="292" w:afterLines="50" w:line="240" w:lineRule="auto"/>
      </w:pPr>
      <w:bookmarkStart w:id="2" w:name="_Toc119667477"/>
      <w:r>
        <w:rPr>
          <w:rFonts w:hint="eastAsia"/>
        </w:rPr>
        <w:t>第一节 规划背景</w:t>
      </w:r>
      <w:bookmarkEnd w:id="2"/>
    </w:p>
    <w:p>
      <w:pPr>
        <w:pStyle w:val="5"/>
        <w:spacing w:line="240" w:lineRule="auto"/>
        <w:ind w:firstLine="643"/>
      </w:pPr>
      <w:r>
        <w:rPr>
          <w:rFonts w:hint="eastAsia"/>
        </w:rPr>
        <w:t>一、国家大力推动现代特色农业示范园区建设</w:t>
      </w:r>
    </w:p>
    <w:p>
      <w:pPr>
        <w:spacing w:line="240" w:lineRule="auto"/>
        <w:ind w:firstLine="640"/>
      </w:pPr>
      <w:r>
        <w:rPr>
          <w:rFonts w:hint="eastAsia"/>
        </w:rPr>
        <w:t>“十四五”期间，我国将全面开启建设社会主义现代化国家新征程，“三农”工作也将进入全面推进乡村振兴、加快农业农村现代化的新阶段。随着乡村振兴战略的不断深入实施，国家大力推动各类现代特色农业示范园区建设，《全国乡村产业发展规划（2021-2025年）》提出，要集中力量建设一批富有特色、带动力强的特色产业集聚区。2021年中央一号文件强调要把农业现代化示范区的建设作为推进农业现代化的重要抓手，以县（区）为单位开展创建，形成梯次推进农业现代化的格局。通过农业现代化示范区的建设，壮大优势产业，加速农业现代化发展，加快农业转型升级，全面推进农业农村经济高质量发展、农民全面增收。</w:t>
      </w:r>
    </w:p>
    <w:p>
      <w:pPr>
        <w:pStyle w:val="5"/>
        <w:spacing w:line="240" w:lineRule="auto"/>
        <w:ind w:firstLine="643"/>
      </w:pPr>
      <w:r>
        <w:rPr>
          <w:rFonts w:hint="eastAsia"/>
        </w:rPr>
        <w:t>二、自治区积极推进现代特色农业示范区发展</w:t>
      </w:r>
    </w:p>
    <w:p>
      <w:pPr>
        <w:spacing w:line="240" w:lineRule="auto"/>
        <w:ind w:firstLine="640"/>
      </w:pPr>
      <w:r>
        <w:t>自治区认真贯彻落实党中央关于实施乡村振兴战略的决策部署，</w:t>
      </w:r>
      <w:r>
        <w:rPr>
          <w:rFonts w:hint="eastAsia"/>
        </w:rPr>
        <w:t>2</w:t>
      </w:r>
      <w:r>
        <w:t>018</w:t>
      </w:r>
      <w:r>
        <w:rPr>
          <w:rFonts w:hint="eastAsia"/>
        </w:rPr>
        <w:t>年制定出台了</w:t>
      </w:r>
      <w:r>
        <w:t>《广西现代特色农业示范区建设增点扩面提质升级（2018—2020）三年行动方案》，</w:t>
      </w:r>
      <w:r>
        <w:rPr>
          <w:rFonts w:hint="eastAsia"/>
        </w:rPr>
        <w:t>全面</w:t>
      </w:r>
      <w:r>
        <w:t>加快推进示范区的建设，涌现出一批要素集中、产业集聚、经营集约的</w:t>
      </w:r>
      <w:r>
        <w:rPr>
          <w:rFonts w:hint="eastAsia"/>
        </w:rPr>
        <w:t>现代化</w:t>
      </w:r>
      <w:r>
        <w:t>示范区，为推进</w:t>
      </w:r>
      <w:r>
        <w:rPr>
          <w:rFonts w:hint="eastAsia"/>
        </w:rPr>
        <w:t>全</w:t>
      </w:r>
      <w:r>
        <w:t>区农业转型升级和加快发展起到了重要的示范带动作用。</w:t>
      </w:r>
      <w:r>
        <w:rPr>
          <w:rFonts w:hint="eastAsia"/>
        </w:rPr>
        <w:t>截止2020年底，13851个现代特色农业示范区（园、点）获认定，其中自治区级示范区339个，初步打造形成粮食、蔗糖、水果、蔬菜、渔业、优质家畜等千亿元级产业，蚕桑、中药材、优质家禽等500亿元级产业。为巩固拓展全区脱贫攻坚成果同乡村振兴的有效衔接，推动乡村产业的发展壮大，自治区党委、自治区人民政府决定组织实施广西现代特色农业示范区高质量建设五年行动（2021—2025年），进一步推进广西现代特色农业示范区高质量发展。</w:t>
      </w:r>
    </w:p>
    <w:p>
      <w:pPr>
        <w:pStyle w:val="5"/>
        <w:spacing w:line="240" w:lineRule="auto"/>
        <w:ind w:firstLine="643"/>
      </w:pPr>
      <w:r>
        <w:rPr>
          <w:rFonts w:hint="eastAsia"/>
        </w:rPr>
        <w:t>三、钦州市大力推进农业园区和农业强县强镇强村建设</w:t>
      </w:r>
    </w:p>
    <w:p>
      <w:pPr>
        <w:spacing w:line="240" w:lineRule="auto"/>
        <w:ind w:firstLine="640"/>
      </w:pPr>
      <w:r>
        <w:rPr>
          <w:rFonts w:hint="eastAsia"/>
        </w:rPr>
        <w:t>《</w:t>
      </w:r>
      <w:r>
        <w:t>钦州市国民经济和社会发展第十四个五年规划和2035年远景目标纲要</w:t>
      </w:r>
      <w:r>
        <w:rPr>
          <w:rFonts w:hint="eastAsia"/>
        </w:rPr>
        <w:t>》提出要</w:t>
      </w:r>
      <w:r>
        <w:t>打造一批</w:t>
      </w:r>
      <w:r>
        <w:rPr>
          <w:rFonts w:hint="eastAsia"/>
        </w:rPr>
        <w:t>“</w:t>
      </w:r>
      <w:r>
        <w:t>一村一品</w:t>
      </w:r>
      <w:r>
        <w:rPr>
          <w:rFonts w:hint="eastAsia"/>
        </w:rPr>
        <w:t>”</w:t>
      </w:r>
      <w:r>
        <w:t>农业产业示范村，支持各村发展特色优势农业产业，建立农村产业富民兴村的模式。</w:t>
      </w:r>
      <w:r>
        <w:rPr>
          <w:rFonts w:hint="eastAsia"/>
        </w:rPr>
        <w:t>《</w:t>
      </w:r>
      <w:r>
        <w:t>钦州市农业农村现代化发展</w:t>
      </w:r>
      <w:r>
        <w:rPr>
          <w:rFonts w:hint="eastAsia"/>
        </w:rPr>
        <w:t>“</w:t>
      </w:r>
      <w:r>
        <w:t>十四五</w:t>
      </w:r>
      <w:r>
        <w:rPr>
          <w:rFonts w:hint="eastAsia"/>
        </w:rPr>
        <w:t>”</w:t>
      </w:r>
      <w:r>
        <w:t>规划</w:t>
      </w:r>
      <w:r>
        <w:rPr>
          <w:rFonts w:hint="eastAsia"/>
        </w:rPr>
        <w:t>》提出要实施现代特色农业示范区高质量建设提升行动，继续培育现代特色农业示范（园）区，推动建设重点转向高质量发展、转向农业农村现代化、转向城乡融合发展。在现代特色农业示范区基础上积极升级争创一批现代农业产业园、科技园、创业园、田园综合体、特色小镇等国家级、自治区级产业平台。</w:t>
      </w:r>
    </w:p>
    <w:p>
      <w:pPr>
        <w:pStyle w:val="4"/>
        <w:spacing w:before="292" w:beforeLines="50" w:after="292" w:afterLines="50" w:line="240" w:lineRule="auto"/>
      </w:pPr>
      <w:bookmarkStart w:id="3" w:name="_Toc119667478"/>
      <w:r>
        <w:rPr>
          <w:rFonts w:hint="eastAsia"/>
        </w:rPr>
        <w:t>第二节 规划意义</w:t>
      </w:r>
      <w:bookmarkEnd w:id="3"/>
    </w:p>
    <w:p>
      <w:pPr>
        <w:pStyle w:val="5"/>
        <w:spacing w:line="240" w:lineRule="auto"/>
        <w:ind w:firstLine="643"/>
      </w:pPr>
      <w:r>
        <w:rPr>
          <w:rFonts w:hint="eastAsia"/>
        </w:rPr>
        <w:t>一、为示范区建设发展提供决策依据</w:t>
      </w:r>
      <w:r>
        <w:t xml:space="preserve"> </w:t>
      </w:r>
    </w:p>
    <w:p>
      <w:pPr>
        <w:spacing w:line="240" w:lineRule="auto"/>
        <w:ind w:firstLine="640"/>
      </w:pPr>
      <w:r>
        <w:rPr>
          <w:rFonts w:hint="eastAsia"/>
        </w:rPr>
        <w:t>示范区是支撑全市农业全面发展的一个重要方面，通过编制示范区建设规划, 可为钦州的示范区建设发展提供一个具有宏观性、方向性、指导性的决策依据, 可进一步明确农业产业布局、发展目标，可避免盲目性, 促进示范区朝着健康、稳定、高效和可持续方向发展，让钦州市示范区在建设中有更高的起点。</w:t>
      </w:r>
    </w:p>
    <w:p>
      <w:pPr>
        <w:pStyle w:val="5"/>
        <w:spacing w:line="240" w:lineRule="auto"/>
        <w:ind w:firstLine="643"/>
      </w:pPr>
      <w:r>
        <w:rPr>
          <w:rFonts w:hint="eastAsia"/>
        </w:rPr>
        <w:t>二、推动示范区农业产业提质增效实现产业兴旺</w:t>
      </w:r>
    </w:p>
    <w:p>
      <w:pPr>
        <w:spacing w:line="240" w:lineRule="auto"/>
        <w:ind w:firstLine="640"/>
      </w:pPr>
      <w:r>
        <w:t>产业是农业发展的载体和支撑</w:t>
      </w:r>
      <w:r>
        <w:rPr>
          <w:rFonts w:hint="eastAsia"/>
        </w:rPr>
        <w:t>，</w:t>
      </w:r>
      <w:r>
        <w:t>产业兴旺，农村才兴旺，农民才富有</w:t>
      </w:r>
      <w:r>
        <w:rPr>
          <w:rFonts w:hint="eastAsia"/>
        </w:rPr>
        <w:t>。示范区通过科学规划, 有利于把各种优势农业资源规划在生态最适宜、生产技术水平最先进、交通最便利、市场最开放、经济最活跃的区域, 促进资源优势最大化；通过优化产业布局，实现钦州市现代农业特色突出、优势互补，大力打造独具钦州市特色的优势农业产业，不断推动农业产业提档升级，促进农业增效、农民增收，实现乡村产业兴旺助推乡村振兴。</w:t>
      </w:r>
    </w:p>
    <w:p>
      <w:pPr>
        <w:pStyle w:val="5"/>
        <w:spacing w:line="240" w:lineRule="auto"/>
        <w:ind w:firstLine="643"/>
      </w:pPr>
      <w:r>
        <w:rPr>
          <w:rFonts w:hint="eastAsia"/>
        </w:rPr>
        <w:t>三、以示范区高质量建设引领农业农村现代化发展</w:t>
      </w:r>
    </w:p>
    <w:p>
      <w:pPr>
        <w:spacing w:line="240" w:lineRule="auto"/>
        <w:ind w:firstLine="640"/>
      </w:pPr>
      <w:r>
        <w:rPr>
          <w:rFonts w:hint="eastAsia"/>
        </w:rPr>
        <w:t>创建现代特色农业示范区是加快实现农业农村现代化的重要载体。加快推进现代特色农业示范区建设，推广应用先进科技成果，有利于推广现代农业科技和提升现代技术装备水平，有利于推动示范区从传统农业向现代农业的转变，有利于推进农业产业化进程，推动农业农村现代化发展，确保农民丰产增收，社会、经济和生态效益协调发展。建立健全土地流转机制，发展适度规模经营，提高规模效益，促进形成专业化生产、企业化管理、贸工农一体农业产业化格局，有利于提高农产品质量、推动农业规模经营、提高产业化经营水平。构建以县（区）为依托、镇为纽带、村屯为基础的全方位、多功能的服务体系，凭借规模化、专业化、标准化、产业化的发展方向，对保障农产品质量安全、提升市场竞争力、推动农业社会化服务体系建设，提高地区农产品品牌效应和市场竞争力、优化产业结构有重要作用。</w:t>
      </w:r>
      <w:r>
        <w:br w:type="textWrapping"/>
      </w:r>
      <w:r>
        <w:rPr>
          <w:rFonts w:hint="eastAsia"/>
          <w:b/>
        </w:rPr>
        <w:t xml:space="preserve">    四、示范区建设为农民持续增收开辟途径</w:t>
      </w:r>
    </w:p>
    <w:p>
      <w:pPr>
        <w:spacing w:line="240" w:lineRule="auto"/>
        <w:ind w:firstLine="640"/>
        <w:rPr>
          <w:rFonts w:ascii="Arial" w:hAnsi="Arial" w:cs="Arial"/>
          <w:shd w:val="clear" w:color="auto" w:fill="FFFFFF"/>
        </w:rPr>
      </w:pPr>
      <w:r>
        <w:rPr>
          <w:rFonts w:hint="eastAsia"/>
        </w:rPr>
        <w:t>建设现代特色农业示范区，</w:t>
      </w:r>
      <w:r>
        <w:rPr>
          <w:rFonts w:ascii="Arial" w:hAnsi="Arial" w:cs="Arial"/>
          <w:shd w:val="clear" w:color="auto" w:fill="FFFFFF"/>
        </w:rPr>
        <w:t>让</w:t>
      </w:r>
      <w:r>
        <w:rPr>
          <w:rFonts w:hint="eastAsia"/>
        </w:rPr>
        <w:t>现代特色农业示范区</w:t>
      </w:r>
      <w:r>
        <w:rPr>
          <w:rFonts w:hint="eastAsia" w:ascii="Arial" w:hAnsi="Arial" w:cs="Arial"/>
          <w:shd w:val="clear" w:color="auto" w:fill="FFFFFF"/>
        </w:rPr>
        <w:t>发展</w:t>
      </w:r>
      <w:r>
        <w:rPr>
          <w:rFonts w:ascii="Arial" w:hAnsi="Arial" w:cs="Arial"/>
          <w:shd w:val="clear" w:color="auto" w:fill="FFFFFF"/>
        </w:rPr>
        <w:t>成为农民增收致富的强大支撑</w:t>
      </w:r>
      <w:r>
        <w:rPr>
          <w:rFonts w:hint="eastAsia" w:ascii="Arial" w:hAnsi="Arial" w:cs="Arial"/>
          <w:shd w:val="clear" w:color="auto" w:fill="FFFFFF"/>
        </w:rPr>
        <w:t>。</w:t>
      </w:r>
      <w:r>
        <w:rPr>
          <w:rFonts w:hint="eastAsia"/>
        </w:rPr>
        <w:t>现代特色农业示范区</w:t>
      </w:r>
      <w:r>
        <w:rPr>
          <w:rFonts w:hint="eastAsia" w:ascii="Arial" w:hAnsi="Arial" w:cs="Arial"/>
          <w:shd w:val="clear" w:color="auto" w:fill="FFFFFF"/>
        </w:rPr>
        <w:t>建设</w:t>
      </w:r>
      <w:r>
        <w:rPr>
          <w:rFonts w:hint="eastAsia"/>
        </w:rPr>
        <w:t>为农民开展规模种养提供大舞台和演练场，有利于解决农村劳动力资源紧张、农村空心化、</w:t>
      </w:r>
      <w:r>
        <w:rPr>
          <w:rFonts w:hint="eastAsia"/>
          <w:shd w:val="clear" w:color="auto" w:fill="FFFFFF"/>
        </w:rPr>
        <w:t>农户空巢化等问题</w:t>
      </w:r>
      <w:r>
        <w:rPr>
          <w:rFonts w:hint="eastAsia"/>
        </w:rPr>
        <w:t>。通过科学规划, 进一步优化农产品区域布局, 指导帮助农民按要求组织生产销售, 提高资源利用效率, 提高农产品商品率和质量, 使农民得到实惠, 增加收入。另一方面则有利于构建利益联结和共享机制，为农民通过股份合作等方式参与分享二三产业增值收益提供有力保障。现代特色农业示范区</w:t>
      </w:r>
      <w:r>
        <w:rPr>
          <w:rFonts w:hint="eastAsia" w:ascii="Arial" w:hAnsi="Arial" w:cs="Arial"/>
          <w:shd w:val="clear" w:color="auto" w:fill="FFFFFF"/>
        </w:rPr>
        <w:t>建设有利于</w:t>
      </w:r>
      <w:r>
        <w:rPr>
          <w:rFonts w:ascii="Arial" w:hAnsi="Arial" w:cs="Arial"/>
          <w:shd w:val="clear" w:color="auto" w:fill="FFFFFF"/>
        </w:rPr>
        <w:t>实施乡村建设行动，改善农村人居环境，发展休闲农业，通过乡村旅游，带动农民增收致富。</w:t>
      </w:r>
    </w:p>
    <w:p>
      <w:pPr>
        <w:spacing w:line="240" w:lineRule="auto"/>
        <w:ind w:firstLine="640"/>
      </w:pPr>
    </w:p>
    <w:p>
      <w:pPr>
        <w:ind w:firstLine="640"/>
      </w:pPr>
    </w:p>
    <w:p>
      <w:pPr>
        <w:ind w:firstLine="640"/>
      </w:pPr>
      <w:r>
        <w:br w:type="page"/>
      </w:r>
    </w:p>
    <w:p>
      <w:pPr>
        <w:pStyle w:val="3"/>
        <w:numPr>
          <w:ilvl w:val="0"/>
          <w:numId w:val="1"/>
        </w:numPr>
      </w:pPr>
      <w:bookmarkStart w:id="4" w:name="_Toc119667479"/>
      <w:r>
        <w:rPr>
          <w:rFonts w:hint="eastAsia"/>
        </w:rPr>
        <w:t>发展基础与发展环境</w:t>
      </w:r>
      <w:bookmarkEnd w:id="4"/>
    </w:p>
    <w:p>
      <w:pPr>
        <w:ind w:firstLine="640"/>
      </w:pPr>
    </w:p>
    <w:p>
      <w:pPr>
        <w:pStyle w:val="4"/>
        <w:spacing w:after="292" w:afterLines="50" w:line="240" w:lineRule="auto"/>
      </w:pPr>
      <w:bookmarkStart w:id="5" w:name="_Toc119667480"/>
      <w:r>
        <w:rPr>
          <w:rFonts w:hint="eastAsia"/>
        </w:rPr>
        <w:t>第一节 发展基础</w:t>
      </w:r>
      <w:bookmarkEnd w:id="5"/>
    </w:p>
    <w:p>
      <w:pPr>
        <w:pStyle w:val="5"/>
        <w:spacing w:line="240" w:lineRule="auto"/>
        <w:ind w:firstLine="643"/>
      </w:pPr>
      <w:r>
        <w:rPr>
          <w:rFonts w:hint="eastAsia"/>
        </w:rPr>
        <w:t>一、发展基础</w:t>
      </w:r>
    </w:p>
    <w:p>
      <w:pPr>
        <w:spacing w:line="240" w:lineRule="auto"/>
        <w:ind w:firstLine="643"/>
      </w:pPr>
      <w:r>
        <w:rPr>
          <w:rFonts w:hint="eastAsia"/>
          <w:b/>
          <w:bCs/>
        </w:rPr>
        <w:t>（一）示范区增点扩面实现新突破。</w:t>
      </w:r>
      <w:r>
        <w:rPr>
          <w:rFonts w:hint="eastAsia"/>
        </w:rPr>
        <w:t>“十三五”期间，钦州市加快推进现代特色农业示范区建设步伐，按照自治区、县、镇、村四级示范区建设体系逐级推进，形成各级示范区呈梯次分布的新格局。截止“十三五”期末，钦州市获认定的各级示范区</w:t>
      </w:r>
      <w:r>
        <w:t>1136</w:t>
      </w:r>
      <w:r>
        <w:rPr>
          <w:rFonts w:hint="eastAsia"/>
        </w:rPr>
        <w:t>个，其中自治区核心示范区</w:t>
      </w:r>
      <w:r>
        <w:t>12</w:t>
      </w:r>
      <w:r>
        <w:rPr>
          <w:rFonts w:hint="eastAsia"/>
        </w:rPr>
        <w:t>个（四星级</w:t>
      </w:r>
      <w:r>
        <w:t>6</w:t>
      </w:r>
      <w:r>
        <w:rPr>
          <w:rFonts w:hint="eastAsia"/>
        </w:rPr>
        <w:t>个、三星级6个）、县级示范区</w:t>
      </w:r>
      <w:r>
        <w:t>26</w:t>
      </w:r>
      <w:r>
        <w:rPr>
          <w:rFonts w:hint="eastAsia"/>
        </w:rPr>
        <w:t>个、镇级示范园</w:t>
      </w:r>
      <w:r>
        <w:t>130</w:t>
      </w:r>
      <w:r>
        <w:rPr>
          <w:rFonts w:hint="eastAsia"/>
        </w:rPr>
        <w:t>个、村级示范点</w:t>
      </w:r>
      <w:r>
        <w:t>968</w:t>
      </w:r>
      <w:r>
        <w:rPr>
          <w:rFonts w:hint="eastAsia"/>
        </w:rPr>
        <w:t>个，示范区增点扩面实现新突破。</w:t>
      </w:r>
    </w:p>
    <w:p>
      <w:pPr>
        <w:spacing w:before="146" w:beforeLines="25" w:after="146" w:afterLines="25" w:line="240" w:lineRule="auto"/>
        <w:ind w:firstLine="0" w:firstLineChars="0"/>
        <w:jc w:val="center"/>
        <w:rPr>
          <w:rFonts w:ascii="仿宋_GB2312" w:hAnsi="黑体" w:cs="黑体"/>
          <w:b/>
          <w:bCs/>
          <w:sz w:val="36"/>
        </w:rPr>
      </w:pPr>
      <w:r>
        <w:rPr>
          <w:rFonts w:hint="eastAsia" w:ascii="仿宋_GB2312" w:hAnsi="黑体" w:cs="黑体"/>
          <w:b/>
          <w:sz w:val="28"/>
        </w:rPr>
        <w:t>表</w:t>
      </w:r>
      <w:r>
        <w:rPr>
          <w:rFonts w:ascii="仿宋_GB2312" w:hAnsi="黑体" w:cs="黑体"/>
          <w:b/>
          <w:sz w:val="28"/>
        </w:rPr>
        <w:t>2</w:t>
      </w:r>
      <w:r>
        <w:rPr>
          <w:rFonts w:hint="eastAsia" w:ascii="仿宋_GB2312" w:hAnsi="黑体" w:cs="黑体"/>
          <w:b/>
          <w:sz w:val="28"/>
        </w:rPr>
        <w:t>-</w:t>
      </w:r>
      <w:r>
        <w:rPr>
          <w:rFonts w:ascii="仿宋_GB2312" w:hAnsi="黑体" w:cs="黑体"/>
          <w:b/>
          <w:sz w:val="28"/>
        </w:rPr>
        <w:t xml:space="preserve">1 </w:t>
      </w:r>
      <w:r>
        <w:rPr>
          <w:rFonts w:hint="eastAsia" w:ascii="仿宋_GB2312" w:hAnsi="黑体" w:cs="黑体"/>
          <w:b/>
          <w:sz w:val="28"/>
        </w:rPr>
        <w:t>钦州市示范区（园、点）数量统计表</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1996"/>
        <w:gridCol w:w="1497"/>
        <w:gridCol w:w="1497"/>
        <w:gridCol w:w="1497"/>
        <w:gridCol w:w="1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县（区）</w:t>
            </w:r>
          </w:p>
        </w:tc>
        <w:tc>
          <w:tcPr>
            <w:tcW w:w="1996"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自治区级示范区</w:t>
            </w:r>
          </w:p>
        </w:tc>
        <w:tc>
          <w:tcPr>
            <w:tcW w:w="1497" w:type="dxa"/>
            <w:vAlign w:val="center"/>
          </w:tcPr>
          <w:p>
            <w:pPr>
              <w:adjustRightInd w:val="0"/>
              <w:spacing w:line="200" w:lineRule="exact"/>
              <w:ind w:firstLine="0" w:firstLineChars="0"/>
              <w:jc w:val="center"/>
              <w:rPr>
                <w:rFonts w:ascii="仿宋_GB2312" w:hAnsi="仿宋_GB2312" w:cs="仿宋_GB2312"/>
                <w:sz w:val="28"/>
                <w:szCs w:val="22"/>
              </w:rPr>
            </w:pPr>
            <w:r>
              <w:rPr>
                <w:rFonts w:hint="eastAsia" w:ascii="仿宋_GB2312" w:hAnsi="仿宋_GB2312" w:cs="仿宋_GB2312"/>
                <w:b/>
                <w:bCs/>
                <w:sz w:val="22"/>
                <w:szCs w:val="22"/>
              </w:rPr>
              <w:t>县级示范区</w:t>
            </w:r>
          </w:p>
        </w:tc>
        <w:tc>
          <w:tcPr>
            <w:tcW w:w="1497" w:type="dxa"/>
            <w:vAlign w:val="center"/>
          </w:tcPr>
          <w:p>
            <w:pPr>
              <w:adjustRightInd w:val="0"/>
              <w:spacing w:line="200" w:lineRule="exact"/>
              <w:ind w:firstLine="0" w:firstLineChars="0"/>
              <w:jc w:val="center"/>
              <w:rPr>
                <w:rFonts w:ascii="仿宋_GB2312" w:hAnsi="仿宋_GB2312" w:cs="仿宋_GB2312"/>
                <w:sz w:val="28"/>
                <w:szCs w:val="22"/>
              </w:rPr>
            </w:pPr>
            <w:r>
              <w:rPr>
                <w:rFonts w:hint="eastAsia" w:ascii="仿宋_GB2312" w:hAnsi="仿宋_GB2312" w:cs="仿宋_GB2312"/>
                <w:b/>
                <w:bCs/>
                <w:sz w:val="22"/>
                <w:szCs w:val="22"/>
              </w:rPr>
              <w:t>镇级示范园</w:t>
            </w:r>
          </w:p>
        </w:tc>
        <w:tc>
          <w:tcPr>
            <w:tcW w:w="1497"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村级示范点</w:t>
            </w:r>
          </w:p>
        </w:tc>
        <w:tc>
          <w:tcPr>
            <w:tcW w:w="1495"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sz w:val="28"/>
                <w:szCs w:val="22"/>
              </w:rPr>
            </w:pPr>
            <w:r>
              <w:rPr>
                <w:rFonts w:hint="eastAsia" w:ascii="仿宋_GB2312" w:hAnsi="仿宋_GB2312" w:cs="仿宋_GB2312"/>
                <w:sz w:val="22"/>
                <w:szCs w:val="22"/>
              </w:rPr>
              <w:t>钦南区</w:t>
            </w:r>
          </w:p>
        </w:tc>
        <w:tc>
          <w:tcPr>
            <w:tcW w:w="1996"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3</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4</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2</w:t>
            </w:r>
            <w:r>
              <w:rPr>
                <w:rFonts w:ascii="仿宋_GB2312" w:hAnsi="仿宋_GB2312" w:cs="仿宋_GB2312"/>
                <w:sz w:val="22"/>
                <w:szCs w:val="22"/>
              </w:rPr>
              <w:t>8</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1</w:t>
            </w:r>
            <w:r>
              <w:rPr>
                <w:rFonts w:ascii="仿宋_GB2312" w:hAnsi="仿宋_GB2312" w:cs="仿宋_GB2312"/>
                <w:sz w:val="22"/>
                <w:szCs w:val="22"/>
              </w:rPr>
              <w:t>38</w:t>
            </w:r>
          </w:p>
        </w:tc>
        <w:tc>
          <w:tcPr>
            <w:tcW w:w="1495" w:type="dxa"/>
            <w:vAlign w:val="center"/>
          </w:tcPr>
          <w:p>
            <w:pPr>
              <w:adjustRightInd w:val="0"/>
              <w:spacing w:line="200" w:lineRule="exact"/>
              <w:ind w:firstLine="0" w:firstLineChars="0"/>
              <w:jc w:val="center"/>
              <w:rPr>
                <w:rFonts w:ascii="仿宋_GB2312" w:hAnsi="仿宋_GB2312" w:cs="仿宋_GB2312"/>
                <w:b/>
                <w:sz w:val="22"/>
                <w:szCs w:val="22"/>
              </w:rPr>
            </w:pPr>
            <w:r>
              <w:rPr>
                <w:rFonts w:hint="eastAsia" w:ascii="仿宋_GB2312" w:hAnsi="仿宋_GB2312" w:cs="仿宋_GB2312"/>
                <w:b/>
                <w:sz w:val="22"/>
                <w:szCs w:val="22"/>
              </w:rPr>
              <w:t>1</w:t>
            </w:r>
            <w:r>
              <w:rPr>
                <w:rFonts w:ascii="仿宋_GB2312" w:hAnsi="仿宋_GB2312" w:cs="仿宋_GB2312"/>
                <w:b/>
                <w:sz w:val="22"/>
                <w:szCs w:val="22"/>
              </w:rPr>
              <w:t>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sz w:val="28"/>
                <w:szCs w:val="22"/>
              </w:rPr>
            </w:pPr>
            <w:r>
              <w:rPr>
                <w:rFonts w:hint="eastAsia" w:ascii="仿宋_GB2312" w:hAnsi="仿宋_GB2312" w:cs="仿宋_GB2312"/>
                <w:sz w:val="22"/>
                <w:szCs w:val="22"/>
              </w:rPr>
              <w:t>钦北区</w:t>
            </w:r>
          </w:p>
        </w:tc>
        <w:tc>
          <w:tcPr>
            <w:tcW w:w="1996"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4</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4</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2</w:t>
            </w:r>
            <w:r>
              <w:rPr>
                <w:rFonts w:ascii="仿宋_GB2312" w:hAnsi="仿宋_GB2312" w:cs="仿宋_GB2312"/>
                <w:sz w:val="22"/>
                <w:szCs w:val="22"/>
              </w:rPr>
              <w:t>6</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1</w:t>
            </w:r>
            <w:r>
              <w:rPr>
                <w:rFonts w:ascii="仿宋_GB2312" w:hAnsi="仿宋_GB2312" w:cs="仿宋_GB2312"/>
                <w:sz w:val="22"/>
                <w:szCs w:val="22"/>
              </w:rPr>
              <w:t>74</w:t>
            </w:r>
          </w:p>
        </w:tc>
        <w:tc>
          <w:tcPr>
            <w:tcW w:w="1495" w:type="dxa"/>
            <w:vAlign w:val="center"/>
          </w:tcPr>
          <w:p>
            <w:pPr>
              <w:adjustRightInd w:val="0"/>
              <w:spacing w:line="200" w:lineRule="exact"/>
              <w:ind w:firstLine="0" w:firstLineChars="0"/>
              <w:jc w:val="center"/>
              <w:rPr>
                <w:rFonts w:ascii="仿宋_GB2312" w:hAnsi="仿宋_GB2312" w:cs="仿宋_GB2312"/>
                <w:b/>
                <w:sz w:val="22"/>
                <w:szCs w:val="22"/>
              </w:rPr>
            </w:pPr>
            <w:r>
              <w:rPr>
                <w:rFonts w:hint="eastAsia" w:ascii="仿宋_GB2312" w:hAnsi="仿宋_GB2312" w:cs="仿宋_GB2312"/>
                <w:b/>
                <w:sz w:val="22"/>
                <w:szCs w:val="22"/>
              </w:rPr>
              <w:t>2</w:t>
            </w:r>
            <w:r>
              <w:rPr>
                <w:rFonts w:ascii="仿宋_GB2312" w:hAnsi="仿宋_GB2312" w:cs="仿宋_GB2312"/>
                <w:b/>
                <w:sz w:val="22"/>
                <w:szCs w:val="22"/>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sz w:val="28"/>
                <w:szCs w:val="22"/>
              </w:rPr>
            </w:pPr>
            <w:r>
              <w:rPr>
                <w:rFonts w:hint="eastAsia" w:ascii="仿宋_GB2312" w:hAnsi="仿宋_GB2312" w:cs="仿宋_GB2312"/>
                <w:sz w:val="22"/>
                <w:szCs w:val="22"/>
              </w:rPr>
              <w:t>灵山县</w:t>
            </w:r>
          </w:p>
        </w:tc>
        <w:tc>
          <w:tcPr>
            <w:tcW w:w="1996"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2</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9</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4</w:t>
            </w:r>
            <w:r>
              <w:rPr>
                <w:rFonts w:ascii="仿宋_GB2312" w:hAnsi="仿宋_GB2312" w:cs="仿宋_GB2312"/>
                <w:sz w:val="22"/>
                <w:szCs w:val="22"/>
              </w:rPr>
              <w:t>2</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3</w:t>
            </w:r>
            <w:r>
              <w:rPr>
                <w:rFonts w:ascii="仿宋_GB2312" w:hAnsi="仿宋_GB2312" w:cs="仿宋_GB2312"/>
                <w:sz w:val="22"/>
                <w:szCs w:val="22"/>
              </w:rPr>
              <w:t>84</w:t>
            </w:r>
          </w:p>
        </w:tc>
        <w:tc>
          <w:tcPr>
            <w:tcW w:w="1495" w:type="dxa"/>
            <w:vAlign w:val="center"/>
          </w:tcPr>
          <w:p>
            <w:pPr>
              <w:adjustRightInd w:val="0"/>
              <w:spacing w:line="200" w:lineRule="exact"/>
              <w:ind w:firstLine="0" w:firstLineChars="0"/>
              <w:jc w:val="center"/>
              <w:rPr>
                <w:rFonts w:ascii="仿宋_GB2312" w:hAnsi="仿宋_GB2312" w:cs="仿宋_GB2312"/>
                <w:b/>
                <w:sz w:val="22"/>
                <w:szCs w:val="22"/>
              </w:rPr>
            </w:pPr>
            <w:r>
              <w:rPr>
                <w:rFonts w:hint="eastAsia" w:ascii="仿宋_GB2312" w:hAnsi="仿宋_GB2312" w:cs="仿宋_GB2312"/>
                <w:b/>
                <w:sz w:val="22"/>
                <w:szCs w:val="22"/>
              </w:rPr>
              <w:t>4</w:t>
            </w:r>
            <w:r>
              <w:rPr>
                <w:rFonts w:ascii="仿宋_GB2312" w:hAnsi="仿宋_GB2312" w:cs="仿宋_GB2312"/>
                <w:b/>
                <w:sz w:val="22"/>
                <w:szCs w:val="22"/>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浦北县</w:t>
            </w:r>
          </w:p>
        </w:tc>
        <w:tc>
          <w:tcPr>
            <w:tcW w:w="1996"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3</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ascii="仿宋_GB2312" w:hAnsi="仿宋_GB2312" w:cs="仿宋_GB2312"/>
                <w:sz w:val="22"/>
                <w:szCs w:val="22"/>
              </w:rPr>
              <w:t>9</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3</w:t>
            </w:r>
            <w:r>
              <w:rPr>
                <w:rFonts w:ascii="仿宋_GB2312" w:hAnsi="仿宋_GB2312" w:cs="仿宋_GB2312"/>
                <w:sz w:val="22"/>
                <w:szCs w:val="22"/>
              </w:rPr>
              <w:t>4</w:t>
            </w:r>
          </w:p>
        </w:tc>
        <w:tc>
          <w:tcPr>
            <w:tcW w:w="1497"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sz w:val="22"/>
                <w:szCs w:val="22"/>
              </w:rPr>
              <w:t>2</w:t>
            </w:r>
            <w:r>
              <w:rPr>
                <w:rFonts w:ascii="仿宋_GB2312" w:hAnsi="仿宋_GB2312" w:cs="仿宋_GB2312"/>
                <w:sz w:val="22"/>
                <w:szCs w:val="22"/>
              </w:rPr>
              <w:t>72</w:t>
            </w:r>
          </w:p>
        </w:tc>
        <w:tc>
          <w:tcPr>
            <w:tcW w:w="1495" w:type="dxa"/>
            <w:vAlign w:val="center"/>
          </w:tcPr>
          <w:p>
            <w:pPr>
              <w:adjustRightInd w:val="0"/>
              <w:spacing w:line="200" w:lineRule="exact"/>
              <w:ind w:firstLine="0" w:firstLineChars="0"/>
              <w:jc w:val="center"/>
              <w:rPr>
                <w:rFonts w:ascii="仿宋_GB2312" w:hAnsi="仿宋_GB2312" w:cs="仿宋_GB2312"/>
                <w:b/>
                <w:sz w:val="22"/>
                <w:szCs w:val="22"/>
              </w:rPr>
            </w:pPr>
            <w:r>
              <w:rPr>
                <w:rFonts w:hint="eastAsia" w:ascii="仿宋_GB2312" w:hAnsi="仿宋_GB2312" w:cs="仿宋_GB2312"/>
                <w:b/>
                <w:sz w:val="22"/>
                <w:szCs w:val="22"/>
              </w:rPr>
              <w:t>3</w:t>
            </w:r>
            <w:r>
              <w:rPr>
                <w:rFonts w:ascii="仿宋_GB2312" w:hAnsi="仿宋_GB2312" w:cs="仿宋_GB2312"/>
                <w:b/>
                <w:sz w:val="22"/>
                <w:szCs w:val="22"/>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adjustRightInd w:val="0"/>
              <w:spacing w:line="200" w:lineRule="exact"/>
              <w:ind w:firstLine="0" w:firstLineChars="0"/>
              <w:jc w:val="center"/>
              <w:rPr>
                <w:rFonts w:ascii="仿宋_GB2312" w:hAnsi="仿宋_GB2312" w:cs="仿宋_GB2312"/>
                <w:sz w:val="22"/>
                <w:szCs w:val="22"/>
              </w:rPr>
            </w:pPr>
            <w:r>
              <w:rPr>
                <w:rFonts w:hint="eastAsia" w:ascii="仿宋_GB2312" w:hAnsi="仿宋_GB2312" w:cs="仿宋_GB2312"/>
                <w:b/>
                <w:bCs/>
                <w:sz w:val="22"/>
                <w:szCs w:val="22"/>
              </w:rPr>
              <w:t>钦州</w:t>
            </w:r>
          </w:p>
        </w:tc>
        <w:tc>
          <w:tcPr>
            <w:tcW w:w="1996"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1</w:t>
            </w:r>
            <w:r>
              <w:rPr>
                <w:rFonts w:ascii="仿宋_GB2312" w:hAnsi="仿宋_GB2312" w:cs="仿宋_GB2312"/>
                <w:b/>
                <w:bCs/>
                <w:sz w:val="22"/>
                <w:szCs w:val="22"/>
              </w:rPr>
              <w:t>2</w:t>
            </w:r>
          </w:p>
        </w:tc>
        <w:tc>
          <w:tcPr>
            <w:tcW w:w="1497" w:type="dxa"/>
            <w:vAlign w:val="center"/>
          </w:tcPr>
          <w:p>
            <w:pPr>
              <w:adjustRightInd w:val="0"/>
              <w:spacing w:line="20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2"/>
                <w:szCs w:val="22"/>
              </w:rPr>
              <w:t>2</w:t>
            </w:r>
            <w:r>
              <w:rPr>
                <w:rFonts w:ascii="仿宋_GB2312" w:hAnsi="仿宋_GB2312" w:cs="仿宋_GB2312"/>
                <w:b/>
                <w:bCs/>
                <w:sz w:val="22"/>
                <w:szCs w:val="22"/>
              </w:rPr>
              <w:t>6</w:t>
            </w:r>
          </w:p>
        </w:tc>
        <w:tc>
          <w:tcPr>
            <w:tcW w:w="1497" w:type="dxa"/>
            <w:vAlign w:val="center"/>
          </w:tcPr>
          <w:p>
            <w:pPr>
              <w:adjustRightInd w:val="0"/>
              <w:spacing w:line="200" w:lineRule="exact"/>
              <w:ind w:firstLine="0" w:firstLineChars="0"/>
              <w:jc w:val="center"/>
              <w:rPr>
                <w:rFonts w:ascii="仿宋_GB2312" w:hAnsi="仿宋_GB2312" w:cs="仿宋_GB2312"/>
                <w:b/>
                <w:bCs/>
                <w:sz w:val="22"/>
                <w:szCs w:val="22"/>
              </w:rPr>
            </w:pPr>
            <w:r>
              <w:rPr>
                <w:rFonts w:ascii="仿宋_GB2312" w:hAnsi="仿宋_GB2312" w:cs="仿宋_GB2312"/>
                <w:b/>
                <w:bCs/>
                <w:sz w:val="22"/>
                <w:szCs w:val="22"/>
              </w:rPr>
              <w:t>130</w:t>
            </w:r>
          </w:p>
        </w:tc>
        <w:tc>
          <w:tcPr>
            <w:tcW w:w="1497" w:type="dxa"/>
            <w:vAlign w:val="center"/>
          </w:tcPr>
          <w:p>
            <w:pPr>
              <w:adjustRightInd w:val="0"/>
              <w:spacing w:line="200" w:lineRule="exact"/>
              <w:ind w:firstLine="0" w:firstLineChars="0"/>
              <w:jc w:val="center"/>
              <w:rPr>
                <w:rFonts w:ascii="仿宋_GB2312" w:hAnsi="仿宋_GB2312" w:cs="仿宋_GB2312"/>
                <w:b/>
                <w:bCs/>
                <w:sz w:val="22"/>
                <w:szCs w:val="22"/>
              </w:rPr>
            </w:pPr>
            <w:r>
              <w:rPr>
                <w:rFonts w:ascii="仿宋_GB2312" w:hAnsi="仿宋_GB2312" w:cs="仿宋_GB2312"/>
                <w:b/>
                <w:bCs/>
                <w:sz w:val="22"/>
                <w:szCs w:val="22"/>
              </w:rPr>
              <w:t>968</w:t>
            </w:r>
          </w:p>
        </w:tc>
        <w:tc>
          <w:tcPr>
            <w:tcW w:w="1495" w:type="dxa"/>
            <w:vAlign w:val="center"/>
          </w:tcPr>
          <w:p>
            <w:pPr>
              <w:adjustRightInd w:val="0"/>
              <w:spacing w:line="200" w:lineRule="exact"/>
              <w:ind w:firstLine="0" w:firstLineChars="0"/>
              <w:jc w:val="center"/>
              <w:rPr>
                <w:rFonts w:ascii="仿宋_GB2312" w:hAnsi="仿宋_GB2312" w:cs="仿宋_GB2312"/>
                <w:b/>
                <w:bCs/>
                <w:sz w:val="22"/>
                <w:szCs w:val="22"/>
              </w:rPr>
            </w:pPr>
            <w:r>
              <w:rPr>
                <w:rFonts w:ascii="仿宋_GB2312" w:hAnsi="仿宋_GB2312" w:cs="仿宋_GB2312"/>
                <w:b/>
                <w:bCs/>
                <w:sz w:val="22"/>
                <w:szCs w:val="22"/>
              </w:rPr>
              <w:t>1136</w:t>
            </w:r>
          </w:p>
        </w:tc>
      </w:tr>
    </w:tbl>
    <w:p>
      <w:pPr>
        <w:spacing w:before="292" w:beforeLines="50" w:line="240" w:lineRule="auto"/>
        <w:ind w:firstLine="643"/>
        <w:rPr>
          <w:rFonts w:hAnsi="仿宋"/>
        </w:rPr>
      </w:pPr>
      <w:r>
        <w:rPr>
          <w:rFonts w:hint="eastAsia" w:hAnsi="仿宋"/>
          <w:b/>
        </w:rPr>
        <w:t>（二）示范区短板补齐工作取得新进展。</w:t>
      </w:r>
      <w:r>
        <w:rPr>
          <w:rFonts w:hint="eastAsia" w:hAnsi="仿宋"/>
          <w:bCs/>
        </w:rPr>
        <w:t>一是基础设施配套逐步完善。“十三五”期间，示范区的道路、水利、电力等基础设施得到进一步完善，示范区基本形成路相通、水相连、电成网的格局。二是标准化生产得到进一步提升。示范区大力推广应用病虫害绿色防控、智能控温、水肥一体化节水灌溉、自动化屠宰加工等现代化、标准化、自动化、智能化生产装备，标准化生产水平得到进一步提升。三是农业现代化仓储流通发展成效显著。示范区依托信息进村入户工程，积极发展“互联网+”农业，积极建设加工储运冷链厂、电商办公大楼。</w:t>
      </w:r>
    </w:p>
    <w:p>
      <w:pPr>
        <w:spacing w:line="240" w:lineRule="auto"/>
        <w:ind w:firstLine="643"/>
        <w:rPr>
          <w:rFonts w:hAnsi="仿宋"/>
          <w:bCs/>
        </w:rPr>
      </w:pPr>
      <w:r>
        <w:rPr>
          <w:rFonts w:hint="eastAsia" w:hAnsi="仿宋"/>
          <w:b/>
        </w:rPr>
        <w:t>（三）示范区服务支撑创造新业绩。</w:t>
      </w:r>
      <w:r>
        <w:rPr>
          <w:rFonts w:hint="eastAsia" w:hAnsi="仿宋"/>
          <w:bCs/>
        </w:rPr>
        <w:t>一是认真落实强农惠农政策。“十三五”期间，钦州市加强组织领导，严格监督检查，重点推出高产示范、良种繁育等特色产业发展扶持政策，有力推动了钦州市特色主导产业示范区建设。二是支持引导示范区进行农业科技创新。“十三五”期间，认真组织实施创新计划，加快了农业科技创新，提高了科技对农业的支持能力。加强基层技术人员和农民技术培训，培育农业技术推广应用人才队伍，积极引进区内外科研单位、岗位专家为示范区开展科技战略协作和提供科技指导服务。先后引进、培育和推广一批农业新品种，提高了良种覆盖率和农产品质量、产量。</w:t>
      </w:r>
    </w:p>
    <w:p>
      <w:pPr>
        <w:spacing w:line="240" w:lineRule="auto"/>
        <w:ind w:firstLine="643"/>
        <w:rPr>
          <w:rFonts w:hAnsi="仿宋"/>
        </w:rPr>
      </w:pPr>
      <w:r>
        <w:rPr>
          <w:rFonts w:hint="eastAsia" w:hAnsi="仿宋"/>
          <w:b/>
        </w:rPr>
        <w:t>（四）农产品“三品一标”取得新突破。</w:t>
      </w:r>
      <w:r>
        <w:rPr>
          <w:rFonts w:hint="eastAsia" w:hAnsi="仿宋"/>
        </w:rPr>
        <w:t>随着示范区质量兴农、品牌强农战略的深入实施，质量兴农行动成果丰硕。“十三五”期间，钦州市依托本地农业资源和特色优势产业，采取有力措施，积极推进“三品一标”（无公害农产品、绿色食品、有机农产品和农产品地理标志）创建工作，取得显著成效。截止“十三五”期末，</w:t>
      </w:r>
      <w:r>
        <w:rPr>
          <w:rFonts w:hint="eastAsia" w:hAnsi="仿宋" w:cs="Arial"/>
          <w:shd w:val="clear" w:color="auto" w:fill="FFFFFF"/>
        </w:rPr>
        <w:t>钦州</w:t>
      </w:r>
      <w:r>
        <w:rPr>
          <w:rFonts w:hAnsi="仿宋" w:cs="Arial"/>
          <w:shd w:val="clear" w:color="auto" w:fill="FFFFFF"/>
        </w:rPr>
        <w:t>市</w:t>
      </w:r>
      <w:r>
        <w:rPr>
          <w:rFonts w:hint="eastAsia" w:hAnsi="仿宋" w:cs="Arial"/>
          <w:shd w:val="clear" w:color="auto" w:fill="FFFFFF"/>
        </w:rPr>
        <w:t>“</w:t>
      </w:r>
      <w:r>
        <w:rPr>
          <w:rFonts w:hAnsi="仿宋" w:cs="Arial"/>
          <w:shd w:val="clear" w:color="auto" w:fill="FFFFFF"/>
        </w:rPr>
        <w:t>三品一标</w:t>
      </w:r>
      <w:r>
        <w:rPr>
          <w:rFonts w:hint="eastAsia" w:hAnsi="仿宋" w:cs="Arial"/>
          <w:shd w:val="clear" w:color="auto" w:fill="FFFFFF"/>
        </w:rPr>
        <w:t>”</w:t>
      </w:r>
      <w:r>
        <w:rPr>
          <w:rFonts w:hAnsi="仿宋" w:cs="Arial"/>
          <w:shd w:val="clear" w:color="auto" w:fill="FFFFFF"/>
        </w:rPr>
        <w:t>认证产品达</w:t>
      </w:r>
      <w:r>
        <w:rPr>
          <w:rFonts w:hAnsi="仿宋"/>
        </w:rPr>
        <w:t>239</w:t>
      </w:r>
      <w:r>
        <w:rPr>
          <w:rFonts w:hAnsi="仿宋" w:cs="Arial"/>
          <w:shd w:val="clear" w:color="auto" w:fill="FFFFFF"/>
        </w:rPr>
        <w:t>个</w:t>
      </w:r>
      <w:r>
        <w:rPr>
          <w:rFonts w:hint="eastAsia" w:hAnsi="仿宋" w:cs="Arial"/>
          <w:shd w:val="clear" w:color="auto" w:fill="FFFFFF"/>
        </w:rPr>
        <w:t>，</w:t>
      </w:r>
      <w:r>
        <w:rPr>
          <w:rFonts w:hAnsi="仿宋" w:cs="Arial"/>
          <w:shd w:val="clear" w:color="auto" w:fill="FFFFFF"/>
        </w:rPr>
        <w:t>总数居全区第三位。其中，无公害产品</w:t>
      </w:r>
      <w:r>
        <w:rPr>
          <w:rFonts w:hAnsi="仿宋"/>
        </w:rPr>
        <w:t>202</w:t>
      </w:r>
      <w:r>
        <w:rPr>
          <w:rFonts w:hAnsi="仿宋" w:cs="Arial"/>
          <w:shd w:val="clear" w:color="auto" w:fill="FFFFFF"/>
        </w:rPr>
        <w:t>个，绿色食品</w:t>
      </w:r>
      <w:r>
        <w:rPr>
          <w:rFonts w:hAnsi="仿宋"/>
        </w:rPr>
        <w:t>15</w:t>
      </w:r>
      <w:r>
        <w:rPr>
          <w:rFonts w:hAnsi="仿宋" w:cs="Arial"/>
          <w:shd w:val="clear" w:color="auto" w:fill="FFFFFF"/>
        </w:rPr>
        <w:t>个，有机农产品</w:t>
      </w:r>
      <w:r>
        <w:rPr>
          <w:rFonts w:hAnsi="仿宋"/>
        </w:rPr>
        <w:t>5</w:t>
      </w:r>
      <w:r>
        <w:rPr>
          <w:rFonts w:hAnsi="仿宋" w:cs="Arial"/>
          <w:shd w:val="clear" w:color="auto" w:fill="FFFFFF"/>
        </w:rPr>
        <w:t>个，农产品地理标志</w:t>
      </w:r>
      <w:r>
        <w:rPr>
          <w:rFonts w:hAnsi="仿宋"/>
        </w:rPr>
        <w:t>17</w:t>
      </w:r>
      <w:r>
        <w:rPr>
          <w:rFonts w:hAnsi="仿宋" w:cs="Arial"/>
          <w:shd w:val="clear" w:color="auto" w:fill="FFFFFF"/>
        </w:rPr>
        <w:t>个。</w:t>
      </w:r>
    </w:p>
    <w:p>
      <w:pPr>
        <w:spacing w:line="240" w:lineRule="auto"/>
        <w:ind w:firstLine="643"/>
        <w:rPr>
          <w:rFonts w:hAnsi="仿宋" w:cs="仿宋_GB2312"/>
          <w:szCs w:val="32"/>
        </w:rPr>
      </w:pPr>
      <w:r>
        <w:rPr>
          <w:rFonts w:hint="eastAsia" w:hAnsi="仿宋"/>
          <w:b/>
          <w:bCs/>
        </w:rPr>
        <w:t>（五）示范区富农机制展现新活力。</w:t>
      </w:r>
      <w:r>
        <w:rPr>
          <w:rFonts w:hint="eastAsia" w:hAnsi="仿宋"/>
        </w:rPr>
        <w:t>“十三五”期间，示范区发展坚持以带农增收为头等大事，助推脱贫攻坚取得大成果。一是助力脱贫攻坚目标任务的全面达成。依托农业示范区，深入挖掘产业潜力，</w:t>
      </w:r>
      <w:r>
        <w:rPr>
          <w:rFonts w:hint="eastAsia" w:hAnsi="仿宋" w:cs="仿宋_GB2312"/>
          <w:szCs w:val="32"/>
        </w:rPr>
        <w:t>提升农产品价值，拓宽农产品销售渠道，推动扶贫产业持续循环发展，增加农民收入，助力脱贫攻坚目标的全面达成</w:t>
      </w:r>
      <w:r>
        <w:rPr>
          <w:rFonts w:hint="eastAsia" w:hAnsi="仿宋"/>
        </w:rPr>
        <w:t>。二是产销对接更顺畅。示范区采取“公司+合作社（贫困户）+基地+加工+直销”的组织经营模式，与合作社建立货源供给关系，形成上下结合，横向联动、多方参与的全域营销新格局。三是合作共赢，促进村级集体经济繁荣发展。</w:t>
      </w:r>
      <w:r>
        <w:rPr>
          <w:rFonts w:hint="eastAsia" w:hAnsi="仿宋" w:cs="仿宋_GB2312"/>
          <w:szCs w:val="32"/>
        </w:rPr>
        <w:t>推行“党支部+合作社+农户+基地”等“党建+”发展模式，依托合作社带动群众参与，实现村级集体经济大幅度增加。</w:t>
      </w:r>
    </w:p>
    <w:p>
      <w:pPr>
        <w:pStyle w:val="5"/>
        <w:spacing w:line="240" w:lineRule="auto"/>
        <w:ind w:firstLine="643"/>
        <w:rPr>
          <w:rFonts w:hAnsi="仿宋"/>
        </w:rPr>
      </w:pPr>
      <w:r>
        <w:rPr>
          <w:rFonts w:hint="eastAsia" w:hAnsi="仿宋"/>
        </w:rPr>
        <w:t>二、存在的主要问题</w:t>
      </w:r>
    </w:p>
    <w:p>
      <w:pPr>
        <w:spacing w:line="240" w:lineRule="auto"/>
        <w:ind w:firstLine="643"/>
        <w:rPr>
          <w:rFonts w:hAnsi="仿宋"/>
        </w:rPr>
      </w:pPr>
      <w:r>
        <w:rPr>
          <w:rFonts w:hint="eastAsia" w:hAnsi="仿宋"/>
          <w:b/>
        </w:rPr>
        <w:t>（一）资金筹措渠道不宽。</w:t>
      </w:r>
      <w:r>
        <w:rPr>
          <w:rFonts w:hint="eastAsia" w:hAnsi="仿宋"/>
        </w:rPr>
        <w:t>尽管市、县（区）两级每年都整合资金投入示范区建设，但由于新型农业经营主体规模偏小，自我投入能力以及带动社会投入能力有限，新型农业经营主体融资难、融资贵的问题未得到根本好转，金融投入力度不够，满足不了示范区建设的资金需求。</w:t>
      </w:r>
    </w:p>
    <w:p>
      <w:pPr>
        <w:spacing w:line="240" w:lineRule="auto"/>
        <w:ind w:firstLine="643"/>
        <w:rPr>
          <w:rFonts w:hAnsi="仿宋"/>
        </w:rPr>
      </w:pPr>
      <w:r>
        <w:rPr>
          <w:rFonts w:hint="eastAsia" w:hAnsi="仿宋"/>
          <w:b/>
        </w:rPr>
        <w:t>（二）用地难和用地贵的问题较为突出。</w:t>
      </w:r>
      <w:r>
        <w:rPr>
          <w:rFonts w:hint="eastAsia" w:hAnsi="仿宋"/>
        </w:rPr>
        <w:t>各级示范区建设普遍存在“用地难”和“用地贵”的问题。一些示范区的建设，受土地、环保等政策的制约难以落地；部份示范区土地租金较高，经营主体难以承受。</w:t>
      </w:r>
    </w:p>
    <w:p>
      <w:pPr>
        <w:spacing w:line="240" w:lineRule="auto"/>
        <w:ind w:firstLine="643"/>
        <w:rPr>
          <w:rFonts w:hAnsi="仿宋"/>
        </w:rPr>
      </w:pPr>
      <w:r>
        <w:rPr>
          <w:rFonts w:hint="eastAsia" w:hAnsi="仿宋"/>
          <w:b/>
        </w:rPr>
        <w:t>（三）品牌创建有待加强。</w:t>
      </w:r>
      <w:r>
        <w:rPr>
          <w:rFonts w:hint="eastAsia" w:hAnsi="仿宋"/>
        </w:rPr>
        <w:t>钦州农业“特而不优、优而不显”的现象一直存在，由于缺乏企业化、规模化经营的市场主体，</w:t>
      </w:r>
      <w:r>
        <w:rPr>
          <w:rFonts w:hAnsi="仿宋"/>
        </w:rPr>
        <w:t>大多数农业企业、合作社规模小</w:t>
      </w:r>
      <w:r>
        <w:rPr>
          <w:rFonts w:hint="eastAsia" w:hAnsi="仿宋"/>
        </w:rPr>
        <w:t>，品牌建设投入不足，宣传力度不够，品牌不响，市场竞争力不强。</w:t>
      </w:r>
    </w:p>
    <w:p>
      <w:pPr>
        <w:spacing w:line="240" w:lineRule="auto"/>
        <w:ind w:firstLine="643"/>
      </w:pPr>
      <w:r>
        <w:rPr>
          <w:rFonts w:hint="eastAsia"/>
          <w:b/>
        </w:rPr>
        <w:t>（四）自治区级示范区数量偏少。</w:t>
      </w:r>
      <w:r>
        <w:rPr>
          <w:rFonts w:hint="eastAsia"/>
        </w:rPr>
        <w:t>截止“十三五”期末，钦州市累计获认定的自治区核心示范区12个，其中三星级6个，四星级6个，自治区级核心示范区相较于区内其他地市数量偏少。</w:t>
      </w:r>
    </w:p>
    <w:p>
      <w:pPr>
        <w:pStyle w:val="4"/>
        <w:spacing w:before="292" w:beforeLines="50" w:after="292" w:afterLines="50" w:line="240" w:lineRule="auto"/>
      </w:pPr>
      <w:bookmarkStart w:id="6" w:name="_Toc119667481"/>
      <w:r>
        <w:rPr>
          <w:rFonts w:hint="eastAsia"/>
        </w:rPr>
        <w:t>第二节 发展环境</w:t>
      </w:r>
      <w:bookmarkEnd w:id="6"/>
    </w:p>
    <w:p>
      <w:pPr>
        <w:pStyle w:val="5"/>
        <w:spacing w:line="240" w:lineRule="auto"/>
        <w:ind w:firstLine="643"/>
      </w:pPr>
      <w:r>
        <w:rPr>
          <w:rFonts w:hint="eastAsia"/>
        </w:rPr>
        <w:t>一、发展条件</w:t>
      </w:r>
    </w:p>
    <w:p>
      <w:pPr>
        <w:spacing w:line="240" w:lineRule="auto"/>
        <w:ind w:firstLine="643"/>
        <w:rPr>
          <w:b/>
        </w:rPr>
      </w:pPr>
      <w:r>
        <w:rPr>
          <w:rFonts w:hint="eastAsia"/>
          <w:b/>
        </w:rPr>
        <w:t>（一）全面实施乡村振兴战略，助力农业农村优先发展。</w:t>
      </w:r>
    </w:p>
    <w:p>
      <w:pPr>
        <w:spacing w:line="240" w:lineRule="auto"/>
        <w:ind w:firstLine="640"/>
      </w:pPr>
      <w:r>
        <w:rPr>
          <w:rFonts w:hint="eastAsia"/>
        </w:rPr>
        <w:t>党的十九大以来，党中央、国务院采取一系列重大举措加快推进乡村振兴，习近平总书记多次作出重要指示，强调要把实施乡村振兴战略摆在优先位置。《中共广西壮族自治区委员会广西壮族自治区人民政府关于全面推进乡村振兴加快农业农村现代化的实施意见》中提出加强现代特色农业园区建设，到2025新建自治区级现代农业示范区300个以上，争创一批国家级现代农业产业园、农业产业强镇、特色农产品优势区，为示范区的发展提供了良好的发展环境。“十四五”期间，要深入贯彻习近平新时代中国特色社会主义思想，全面落实习近平总书记视察广西时的重要讲话和重要指示精神，紧抓实施乡村振兴战略的重大机遇，以现代特色农业示范区的发展为重要抓手助力农业农村优先发展，夯实农业基础地位，补齐农业发展短板。</w:t>
      </w:r>
    </w:p>
    <w:p>
      <w:pPr>
        <w:spacing w:line="240" w:lineRule="auto"/>
        <w:ind w:firstLine="520" w:firstLineChars="162"/>
        <w:rPr>
          <w:b/>
        </w:rPr>
      </w:pPr>
      <w:r>
        <w:rPr>
          <w:rFonts w:hint="eastAsia"/>
          <w:b/>
        </w:rPr>
        <w:t>（二）“双循环”新发展格局，带来新需求与大市场。</w:t>
      </w:r>
    </w:p>
    <w:p>
      <w:pPr>
        <w:spacing w:line="240" w:lineRule="auto"/>
        <w:ind w:firstLine="640"/>
      </w:pPr>
      <w:r>
        <w:rPr>
          <w:rFonts w:hint="eastAsia"/>
        </w:rPr>
        <w:t>习近平总书记在参加全国政协十三届三次会议经济界委员联组会时强调，面向未来，我们要把满足国内需求作为发展的出发点和落脚点，逐步形成以国内大循环为主体、国内国际双循环相互促进的新发展格局，要充分发挥中国超大规模市场优势和内需潜力，加快构建完整的内需体系。新形势下，随着城乡居民消费不断转型升级，消费需求呈现个性化、多样性趋势，这将有利于农业优化供给结构，改善供给质量，开拓广阔的消费市场，实现供求关系新的动态均衡。农产品有效供给是经济社会稳定的“压舱石”，城乡消费需求是形成国内大循环的重要基础。“十四五”期间，要牢牢把握“双循环”新格局发展机遇，推动钦州市“菜篮子”高品质有效供应粤港澳大湾区市场，甚至国际市场，推动城乡消费需求提档升级，有效促进现代化农业示范区高速发展。</w:t>
      </w:r>
    </w:p>
    <w:p>
      <w:pPr>
        <w:spacing w:line="240" w:lineRule="auto"/>
        <w:ind w:firstLine="643"/>
        <w:rPr>
          <w:b/>
        </w:rPr>
      </w:pPr>
      <w:r>
        <w:rPr>
          <w:rFonts w:hint="eastAsia"/>
          <w:b/>
        </w:rPr>
        <w:t>（三）数字化为农业示范区跨越式发展提供了重要支撑。</w:t>
      </w:r>
    </w:p>
    <w:p>
      <w:pPr>
        <w:spacing w:line="240" w:lineRule="auto"/>
        <w:ind w:firstLine="640"/>
      </w:pPr>
      <w:r>
        <w:rPr>
          <w:rFonts w:hint="eastAsia"/>
        </w:rPr>
        <w:t>《数字农业农村发展规划（2019-2025年）》提出，“十四五”期间以产业数字化、数字产业化为发展主线，以数字技术与农业农村经济深度融合为主攻方向，以数据为关键生产要素，着力建设基础数据资源体系，加强数字生产能力建设，加快农业示范区生产经营、管理服务数字化改造，强化关键技术装备创新和重大工程设施建设，推动政府信息系统和公共数据互联开放共享，全面提升农业生产智能化、经营网络化、管理高效化、服务便捷化水平。大力推进钦州市农业示范区数字化建设，用数字化为农业示范区跨越式发展提供重要支撑。</w:t>
      </w:r>
    </w:p>
    <w:p>
      <w:pPr>
        <w:spacing w:line="240" w:lineRule="auto"/>
        <w:ind w:firstLine="520" w:firstLineChars="162"/>
      </w:pPr>
      <w:r>
        <w:rPr>
          <w:rFonts w:hint="eastAsia" w:hAnsi="楷体_GB2312" w:cs="楷体_GB2312"/>
          <w:b/>
          <w:bCs/>
        </w:rPr>
        <w:t>（四）丰富的农业资源为示范区发展提供了广阔的空间。</w:t>
      </w:r>
    </w:p>
    <w:p>
      <w:pPr>
        <w:spacing w:line="240" w:lineRule="auto"/>
        <w:ind w:firstLine="640"/>
        <w:rPr>
          <w:rFonts w:ascii="仿宋_GB2312"/>
        </w:rPr>
      </w:pPr>
      <w:r>
        <w:t>钦州</w:t>
      </w:r>
      <w:r>
        <w:rPr>
          <w:rFonts w:hint="eastAsia"/>
        </w:rPr>
        <w:t>市农业资源丰富，经过多年的发展，农业结构不断优化，优质粮食、特色水果、精品蔬菜、优质茶叶和中草药、生态畜禽、海洋渔业、特色农产品加工、休闲农业等特色农业产业逐步沿标准化、现代化发展，现代特色农业示范区建设不断扩增，农产品影响力和知名度不断提升，成功打造钦州大蚝、钦州青蟹、钦北荔枝、灵山荔枝、灵山绿茶、灵山香鸡、灵山水奶牛、浦北妃子笑荔枝、浦北黄皮、浦北黑猪等一批名特优农产品。</w:t>
      </w:r>
      <w:r>
        <w:rPr>
          <w:rFonts w:hint="eastAsia" w:ascii="仿宋_GB2312"/>
        </w:rPr>
        <w:t>钦州各县（区）农业资源现状详见表</w:t>
      </w:r>
      <w:r>
        <w:rPr>
          <w:rFonts w:ascii="仿宋_GB2312"/>
        </w:rPr>
        <w:t>2</w:t>
      </w:r>
      <w:r>
        <w:rPr>
          <w:rFonts w:hint="eastAsia" w:ascii="仿宋_GB2312"/>
        </w:rPr>
        <w:t>-</w:t>
      </w:r>
      <w:r>
        <w:rPr>
          <w:rFonts w:ascii="仿宋_GB2312"/>
        </w:rPr>
        <w:t>2</w:t>
      </w:r>
      <w:r>
        <w:rPr>
          <w:rFonts w:hint="eastAsia" w:ascii="仿宋_GB2312"/>
        </w:rPr>
        <w:t>。</w:t>
      </w:r>
    </w:p>
    <w:p>
      <w:pPr>
        <w:pStyle w:val="42"/>
        <w:spacing w:before="146" w:beforeLines="25" w:after="146" w:afterLines="25"/>
        <w:jc w:val="center"/>
        <w:rPr>
          <w:rFonts w:ascii="仿宋" w:hAnsi="仿宋" w:eastAsia="仿宋" w:cs="黑体"/>
          <w:b/>
          <w:sz w:val="28"/>
        </w:rPr>
      </w:pPr>
      <w:r>
        <w:rPr>
          <w:rFonts w:hint="eastAsia" w:ascii="仿宋" w:hAnsi="仿宋" w:eastAsia="仿宋" w:cs="黑体"/>
          <w:b/>
          <w:sz w:val="28"/>
        </w:rPr>
        <w:t>表2-</w:t>
      </w:r>
      <w:r>
        <w:rPr>
          <w:rFonts w:ascii="仿宋" w:hAnsi="仿宋" w:eastAsia="仿宋" w:cs="黑体"/>
          <w:b/>
          <w:sz w:val="28"/>
        </w:rPr>
        <w:t>2</w:t>
      </w:r>
      <w:r>
        <w:rPr>
          <w:rFonts w:hint="eastAsia" w:ascii="仿宋" w:hAnsi="仿宋" w:eastAsia="仿宋" w:cs="黑体"/>
          <w:b/>
          <w:sz w:val="28"/>
        </w:rPr>
        <w:t>钦州市各县区农业资源现状表</w:t>
      </w:r>
    </w:p>
    <w:tbl>
      <w:tblPr>
        <w:tblStyle w:val="25"/>
        <w:tblW w:w="872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1125"/>
        <w:gridCol w:w="1009"/>
        <w:gridCol w:w="2980"/>
        <w:gridCol w:w="2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jc w:val="center"/>
        </w:trPr>
        <w:tc>
          <w:tcPr>
            <w:tcW w:w="980" w:type="dxa"/>
            <w:vAlign w:val="center"/>
          </w:tcPr>
          <w:p>
            <w:pPr>
              <w:pStyle w:val="31"/>
              <w:spacing w:line="200" w:lineRule="exact"/>
              <w:jc w:val="center"/>
              <w:rPr>
                <w:b/>
                <w:bCs/>
                <w:sz w:val="22"/>
                <w:lang w:bidi="en-US"/>
              </w:rPr>
            </w:pPr>
            <w:r>
              <w:rPr>
                <w:rFonts w:hint="eastAsia"/>
                <w:b/>
                <w:bCs/>
                <w:sz w:val="22"/>
                <w:lang w:bidi="en-US"/>
              </w:rPr>
              <w:t>县区</w:t>
            </w:r>
          </w:p>
        </w:tc>
        <w:tc>
          <w:tcPr>
            <w:tcW w:w="1125" w:type="dxa"/>
            <w:vAlign w:val="center"/>
          </w:tcPr>
          <w:p>
            <w:pPr>
              <w:pStyle w:val="31"/>
              <w:spacing w:line="200" w:lineRule="exact"/>
              <w:jc w:val="center"/>
              <w:rPr>
                <w:b/>
                <w:bCs/>
                <w:sz w:val="22"/>
                <w:lang w:bidi="en-US"/>
              </w:rPr>
            </w:pPr>
            <w:r>
              <w:rPr>
                <w:rFonts w:hint="eastAsia"/>
                <w:b/>
                <w:bCs/>
                <w:sz w:val="22"/>
                <w:lang w:bidi="en-US"/>
              </w:rPr>
              <w:t>区位</w:t>
            </w:r>
          </w:p>
        </w:tc>
        <w:tc>
          <w:tcPr>
            <w:tcW w:w="1009" w:type="dxa"/>
            <w:vAlign w:val="center"/>
          </w:tcPr>
          <w:p>
            <w:pPr>
              <w:pStyle w:val="31"/>
              <w:spacing w:line="200" w:lineRule="exact"/>
              <w:jc w:val="center"/>
              <w:rPr>
                <w:b/>
                <w:bCs/>
                <w:sz w:val="22"/>
                <w:lang w:bidi="en-US"/>
              </w:rPr>
            </w:pPr>
            <w:r>
              <w:rPr>
                <w:rFonts w:hint="eastAsia"/>
                <w:b/>
                <w:bCs/>
                <w:sz w:val="22"/>
                <w:lang w:bidi="en-US"/>
              </w:rPr>
              <w:t>面积</w:t>
            </w:r>
          </w:p>
        </w:tc>
        <w:tc>
          <w:tcPr>
            <w:tcW w:w="2980" w:type="dxa"/>
            <w:vAlign w:val="center"/>
          </w:tcPr>
          <w:p>
            <w:pPr>
              <w:pStyle w:val="31"/>
              <w:spacing w:line="200" w:lineRule="exact"/>
              <w:jc w:val="center"/>
              <w:rPr>
                <w:b/>
                <w:bCs/>
                <w:sz w:val="22"/>
                <w:lang w:bidi="en-US"/>
              </w:rPr>
            </w:pPr>
            <w:r>
              <w:rPr>
                <w:rFonts w:hint="eastAsia"/>
                <w:b/>
                <w:bCs/>
                <w:sz w:val="22"/>
                <w:lang w:bidi="en-US"/>
              </w:rPr>
              <w:t>主要农业资源</w:t>
            </w:r>
          </w:p>
        </w:tc>
        <w:tc>
          <w:tcPr>
            <w:tcW w:w="2633" w:type="dxa"/>
            <w:vAlign w:val="center"/>
          </w:tcPr>
          <w:p>
            <w:pPr>
              <w:pStyle w:val="31"/>
              <w:spacing w:line="200" w:lineRule="exact"/>
              <w:jc w:val="center"/>
              <w:rPr>
                <w:b/>
                <w:bCs/>
                <w:sz w:val="22"/>
                <w:lang w:bidi="en-US"/>
              </w:rPr>
            </w:pPr>
            <w:r>
              <w:rPr>
                <w:rFonts w:hint="eastAsia"/>
                <w:b/>
                <w:bCs/>
                <w:sz w:val="22"/>
                <w:lang w:bidi="en-US"/>
              </w:rPr>
              <w:t>地理标志产品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44" w:hRule="atLeast"/>
          <w:jc w:val="center"/>
        </w:trPr>
        <w:tc>
          <w:tcPr>
            <w:tcW w:w="980" w:type="dxa"/>
            <w:vAlign w:val="center"/>
          </w:tcPr>
          <w:p>
            <w:pPr>
              <w:pStyle w:val="31"/>
              <w:spacing w:line="280" w:lineRule="exact"/>
              <w:jc w:val="center"/>
              <w:rPr>
                <w:lang w:bidi="en-US"/>
              </w:rPr>
            </w:pPr>
            <w:r>
              <w:rPr>
                <w:rFonts w:hint="eastAsia"/>
                <w:lang w:bidi="en-US"/>
              </w:rPr>
              <w:t>钦南区</w:t>
            </w:r>
          </w:p>
        </w:tc>
        <w:tc>
          <w:tcPr>
            <w:tcW w:w="1125" w:type="dxa"/>
            <w:vAlign w:val="center"/>
          </w:tcPr>
          <w:p>
            <w:pPr>
              <w:pStyle w:val="31"/>
              <w:spacing w:line="280" w:lineRule="exact"/>
              <w:jc w:val="center"/>
              <w:rPr>
                <w:lang w:bidi="en-US"/>
              </w:rPr>
            </w:pPr>
            <w:r>
              <w:rPr>
                <w:rFonts w:hint="eastAsia"/>
                <w:lang w:bidi="en-US"/>
              </w:rPr>
              <w:t>钦州南部</w:t>
            </w:r>
          </w:p>
        </w:tc>
        <w:tc>
          <w:tcPr>
            <w:tcW w:w="1009" w:type="dxa"/>
            <w:vAlign w:val="center"/>
          </w:tcPr>
          <w:p>
            <w:pPr>
              <w:pStyle w:val="31"/>
              <w:spacing w:line="280" w:lineRule="exact"/>
              <w:jc w:val="center"/>
              <w:rPr>
                <w:lang w:bidi="en-US"/>
              </w:rPr>
            </w:pPr>
            <w:r>
              <w:rPr>
                <w:rFonts w:hint="eastAsia"/>
                <w:lang w:bidi="en-US"/>
              </w:rPr>
              <w:t>2329km</w:t>
            </w:r>
            <w:r>
              <w:rPr>
                <w:rFonts w:hint="eastAsia" w:ascii="宋体" w:hAnsi="宋体" w:eastAsia="宋体"/>
                <w:lang w:bidi="en-US"/>
              </w:rPr>
              <w:t>²</w:t>
            </w:r>
          </w:p>
        </w:tc>
        <w:tc>
          <w:tcPr>
            <w:tcW w:w="2980" w:type="dxa"/>
            <w:vAlign w:val="center"/>
          </w:tcPr>
          <w:p>
            <w:pPr>
              <w:pStyle w:val="31"/>
              <w:spacing w:line="280" w:lineRule="exact"/>
            </w:pPr>
            <w:r>
              <w:rPr>
                <w:rFonts w:hint="eastAsia"/>
              </w:rPr>
              <w:t>糖料蔗、海红米、辣椒、紫米、荔枝、百香果、火龙果、菠萝蜜、中药材（五指毛桃）、龟鳖、大蚝、对虾、黄瓜皮、生猪、蛋鸡等。</w:t>
            </w:r>
          </w:p>
        </w:tc>
        <w:tc>
          <w:tcPr>
            <w:tcW w:w="2633" w:type="dxa"/>
          </w:tcPr>
          <w:p>
            <w:pPr>
              <w:pStyle w:val="31"/>
              <w:spacing w:line="280" w:lineRule="exact"/>
            </w:pPr>
            <w:r>
              <w:rPr>
                <w:rFonts w:hint="eastAsia"/>
              </w:rPr>
              <w:t>“钦州大蚝”、 “钦州青蟹”、“钦州鲈鱼”、“钦州辣椒”、“钦州黄瓜皮”、“钦州赤禾”、“钦州海鸭蛋”、“钦州石斑鱼”、“钦州石金钱龟”。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980" w:type="dxa"/>
            <w:vAlign w:val="center"/>
          </w:tcPr>
          <w:p>
            <w:pPr>
              <w:pStyle w:val="31"/>
              <w:spacing w:line="280" w:lineRule="exact"/>
              <w:jc w:val="center"/>
              <w:rPr>
                <w:lang w:bidi="en-US"/>
              </w:rPr>
            </w:pPr>
            <w:r>
              <w:rPr>
                <w:rFonts w:hint="eastAsia"/>
                <w:lang w:bidi="en-US"/>
              </w:rPr>
              <w:t>钦北区</w:t>
            </w:r>
          </w:p>
        </w:tc>
        <w:tc>
          <w:tcPr>
            <w:tcW w:w="1125" w:type="dxa"/>
            <w:vAlign w:val="center"/>
          </w:tcPr>
          <w:p>
            <w:pPr>
              <w:pStyle w:val="31"/>
              <w:spacing w:line="280" w:lineRule="exact"/>
              <w:jc w:val="center"/>
              <w:rPr>
                <w:lang w:bidi="en-US"/>
              </w:rPr>
            </w:pPr>
            <w:r>
              <w:rPr>
                <w:rFonts w:hint="eastAsia"/>
                <w:lang w:bidi="en-US"/>
              </w:rPr>
              <w:t>钦州北部</w:t>
            </w:r>
          </w:p>
        </w:tc>
        <w:tc>
          <w:tcPr>
            <w:tcW w:w="1009" w:type="dxa"/>
            <w:vAlign w:val="center"/>
          </w:tcPr>
          <w:p>
            <w:pPr>
              <w:pStyle w:val="31"/>
              <w:spacing w:line="280" w:lineRule="exact"/>
              <w:jc w:val="center"/>
              <w:rPr>
                <w:lang w:bidi="en-US"/>
              </w:rPr>
            </w:pPr>
            <w:r>
              <w:rPr>
                <w:rFonts w:hint="eastAsia"/>
                <w:lang w:bidi="en-US"/>
              </w:rPr>
              <w:t>2217km</w:t>
            </w:r>
            <w:r>
              <w:rPr>
                <w:rFonts w:hint="eastAsia" w:ascii="宋体" w:hAnsi="宋体" w:eastAsia="宋体"/>
                <w:lang w:bidi="en-US"/>
              </w:rPr>
              <w:t>²</w:t>
            </w:r>
          </w:p>
        </w:tc>
        <w:tc>
          <w:tcPr>
            <w:tcW w:w="2980" w:type="dxa"/>
            <w:vAlign w:val="center"/>
          </w:tcPr>
          <w:p>
            <w:pPr>
              <w:pStyle w:val="31"/>
              <w:spacing w:line="280" w:lineRule="exact"/>
            </w:pPr>
            <w:r>
              <w:rPr>
                <w:rFonts w:hint="eastAsia"/>
              </w:rPr>
              <w:t>糖料蔗、淮山、荔枝、火龙果、杨梅、葡萄、牛大力、番石榴、沙姜、富硒米、果园鸡、果苗、柑橘、肉牛、肉猪、黄鳝、淡水鱼等。</w:t>
            </w:r>
          </w:p>
        </w:tc>
        <w:tc>
          <w:tcPr>
            <w:tcW w:w="2633" w:type="dxa"/>
            <w:vAlign w:val="center"/>
          </w:tcPr>
          <w:p>
            <w:pPr>
              <w:pStyle w:val="31"/>
              <w:spacing w:line="280" w:lineRule="exact"/>
            </w:pPr>
            <w:r>
              <w:rPr>
                <w:rFonts w:hint="eastAsia"/>
              </w:rPr>
              <w:t xml:space="preserve"> “钦北荔枝”、“钦州黄瓜皮”。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980" w:type="dxa"/>
            <w:vAlign w:val="center"/>
          </w:tcPr>
          <w:p>
            <w:pPr>
              <w:pStyle w:val="31"/>
              <w:spacing w:line="280" w:lineRule="exact"/>
              <w:jc w:val="center"/>
              <w:rPr>
                <w:lang w:bidi="en-US"/>
              </w:rPr>
            </w:pPr>
            <w:r>
              <w:rPr>
                <w:rFonts w:hint="eastAsia"/>
                <w:lang w:bidi="en-US"/>
              </w:rPr>
              <w:t>灵山县</w:t>
            </w:r>
          </w:p>
        </w:tc>
        <w:tc>
          <w:tcPr>
            <w:tcW w:w="1125" w:type="dxa"/>
            <w:vAlign w:val="center"/>
          </w:tcPr>
          <w:p>
            <w:pPr>
              <w:pStyle w:val="31"/>
              <w:spacing w:line="280" w:lineRule="exact"/>
              <w:jc w:val="center"/>
              <w:rPr>
                <w:lang w:bidi="en-US"/>
              </w:rPr>
            </w:pPr>
            <w:r>
              <w:rPr>
                <w:rFonts w:hint="eastAsia"/>
                <w:lang w:bidi="en-US"/>
              </w:rPr>
              <w:t>钦州中部</w:t>
            </w:r>
          </w:p>
        </w:tc>
        <w:tc>
          <w:tcPr>
            <w:tcW w:w="1009" w:type="dxa"/>
            <w:vAlign w:val="center"/>
          </w:tcPr>
          <w:p>
            <w:pPr>
              <w:pStyle w:val="31"/>
              <w:spacing w:line="280" w:lineRule="exact"/>
              <w:jc w:val="center"/>
              <w:rPr>
                <w:lang w:bidi="en-US"/>
              </w:rPr>
            </w:pPr>
            <w:r>
              <w:rPr>
                <w:rFonts w:hint="eastAsia"/>
                <w:lang w:bidi="en-US"/>
              </w:rPr>
              <w:t>3558km</w:t>
            </w:r>
            <w:r>
              <w:rPr>
                <w:rFonts w:hint="eastAsia" w:ascii="宋体" w:hAnsi="宋体" w:eastAsia="宋体"/>
                <w:lang w:bidi="en-US"/>
              </w:rPr>
              <w:t>²</w:t>
            </w:r>
          </w:p>
        </w:tc>
        <w:tc>
          <w:tcPr>
            <w:tcW w:w="2980" w:type="dxa"/>
            <w:vAlign w:val="center"/>
          </w:tcPr>
          <w:p>
            <w:pPr>
              <w:pStyle w:val="31"/>
              <w:spacing w:line="280" w:lineRule="exact"/>
            </w:pPr>
            <w:r>
              <w:t>荔枝、茶叶、龙眼、香蕉、糖料蔗、</w:t>
            </w:r>
            <w:r>
              <w:rPr>
                <w:rFonts w:hint="eastAsia"/>
              </w:rPr>
              <w:t>果苗、苗木、黄皮、</w:t>
            </w:r>
            <w:r>
              <w:t>水牛奶</w:t>
            </w:r>
            <w:r>
              <w:rPr>
                <w:rFonts w:hint="eastAsia"/>
              </w:rPr>
              <w:t>、灵山</w:t>
            </w:r>
            <w:r>
              <w:t>香鸡</w:t>
            </w:r>
            <w:r>
              <w:rPr>
                <w:rFonts w:hint="eastAsia"/>
              </w:rPr>
              <w:t>、番石榴、生猪、鱼苗等。</w:t>
            </w:r>
          </w:p>
        </w:tc>
        <w:tc>
          <w:tcPr>
            <w:tcW w:w="2633" w:type="dxa"/>
            <w:vAlign w:val="center"/>
          </w:tcPr>
          <w:p>
            <w:pPr>
              <w:pStyle w:val="31"/>
              <w:spacing w:line="280" w:lineRule="exact"/>
            </w:pPr>
            <w:r>
              <w:rPr>
                <w:rFonts w:hint="eastAsia"/>
              </w:rPr>
              <w:t>“灵山荔枝”、“灵山绿茶”、“灵山香鸡”、“灵山</w:t>
            </w:r>
            <w:r>
              <w:t>水牛奶</w:t>
            </w:r>
            <w:r>
              <w:rPr>
                <w:rFonts w:hint="eastAsia"/>
              </w:rPr>
              <w:t>”、“灵山凉粉”。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980" w:type="dxa"/>
            <w:vAlign w:val="center"/>
          </w:tcPr>
          <w:p>
            <w:pPr>
              <w:pStyle w:val="31"/>
              <w:spacing w:line="280" w:lineRule="exact"/>
              <w:jc w:val="center"/>
              <w:rPr>
                <w:lang w:bidi="en-US"/>
              </w:rPr>
            </w:pPr>
            <w:r>
              <w:rPr>
                <w:rFonts w:hint="eastAsia"/>
                <w:lang w:bidi="en-US"/>
              </w:rPr>
              <w:t>浦北县</w:t>
            </w:r>
          </w:p>
        </w:tc>
        <w:tc>
          <w:tcPr>
            <w:tcW w:w="1125" w:type="dxa"/>
            <w:vAlign w:val="center"/>
          </w:tcPr>
          <w:p>
            <w:pPr>
              <w:pStyle w:val="31"/>
              <w:spacing w:line="280" w:lineRule="exact"/>
              <w:jc w:val="center"/>
              <w:rPr>
                <w:lang w:bidi="en-US"/>
              </w:rPr>
            </w:pPr>
            <w:r>
              <w:rPr>
                <w:rFonts w:hint="eastAsia"/>
                <w:lang w:bidi="en-US"/>
              </w:rPr>
              <w:t>钦州东部</w:t>
            </w:r>
          </w:p>
        </w:tc>
        <w:tc>
          <w:tcPr>
            <w:tcW w:w="1009" w:type="dxa"/>
            <w:vAlign w:val="center"/>
          </w:tcPr>
          <w:p>
            <w:pPr>
              <w:pStyle w:val="31"/>
              <w:spacing w:line="280" w:lineRule="exact"/>
              <w:jc w:val="center"/>
              <w:rPr>
                <w:lang w:bidi="en-US"/>
              </w:rPr>
            </w:pPr>
            <w:r>
              <w:rPr>
                <w:rFonts w:hint="eastAsia"/>
                <w:lang w:bidi="en-US"/>
              </w:rPr>
              <w:t>2521km</w:t>
            </w:r>
            <w:r>
              <w:rPr>
                <w:rFonts w:hint="eastAsia" w:ascii="宋体" w:hAnsi="宋体" w:eastAsia="宋体"/>
                <w:lang w:bidi="en-US"/>
              </w:rPr>
              <w:t>²</w:t>
            </w:r>
          </w:p>
        </w:tc>
        <w:tc>
          <w:tcPr>
            <w:tcW w:w="2980" w:type="dxa"/>
            <w:vAlign w:val="center"/>
          </w:tcPr>
          <w:p>
            <w:pPr>
              <w:pStyle w:val="31"/>
              <w:spacing w:line="280" w:lineRule="exact"/>
            </w:pPr>
            <w:r>
              <w:rPr>
                <w:rFonts w:hint="eastAsia"/>
              </w:rPr>
              <w:t>香蕉、荔枝、黄皮、百香果、柑橘、红衣花生、红椎菌、八角、蜂蜜、黑猪、官垌草鱼、富硒稻、茶叶（柑普茶）、四会柑（陈皮）、橄榄等。</w:t>
            </w:r>
          </w:p>
        </w:tc>
        <w:tc>
          <w:tcPr>
            <w:tcW w:w="2633" w:type="dxa"/>
            <w:vAlign w:val="center"/>
          </w:tcPr>
          <w:p>
            <w:pPr>
              <w:pStyle w:val="31"/>
              <w:spacing w:line="280" w:lineRule="exact"/>
            </w:pPr>
            <w:r>
              <w:rPr>
                <w:rFonts w:hint="eastAsia"/>
              </w:rPr>
              <w:t xml:space="preserve"> “浦北妃子笑荔枝”、“浦北黄皮”、“浦北黑猪”、“浦北红椎菌”、“官垌草鱼”、“浦北香蕉”。</w:t>
            </w:r>
          </w:p>
        </w:tc>
      </w:tr>
    </w:tbl>
    <w:p>
      <w:pPr>
        <w:pStyle w:val="5"/>
        <w:spacing w:before="292" w:beforeLines="50" w:line="240" w:lineRule="auto"/>
        <w:ind w:firstLine="643"/>
      </w:pPr>
      <w:r>
        <w:rPr>
          <w:rFonts w:hint="eastAsia"/>
        </w:rPr>
        <w:t>二、面临挑战</w:t>
      </w:r>
    </w:p>
    <w:p>
      <w:pPr>
        <w:spacing w:line="240" w:lineRule="auto"/>
        <w:ind w:firstLine="643"/>
        <w:rPr>
          <w:bCs/>
        </w:rPr>
      </w:pPr>
      <w:r>
        <w:rPr>
          <w:rFonts w:hint="eastAsia"/>
          <w:b/>
        </w:rPr>
        <w:t>（一）面临质量安全的压力。</w:t>
      </w:r>
      <w:r>
        <w:rPr>
          <w:rFonts w:hint="eastAsia"/>
          <w:bCs/>
        </w:rPr>
        <w:t>农产品质量是构成农业食品质量安全的内在基础，从水土环境和种养业生产方式来看，我国农产品质量安全面临挑战的严峻性有增无减。在生产环节中，由于长期依赖化工产品作为农业生产的现代投入要素，在养殖过程中长期使用抗生素和大量不合理添加剂，导致水环境和土壤环境中重金属富集和超标；在加工环节中，由于加工过程控制不严，违规添加着色剂、塑化剂、化学香精等化学合成材料的现象时有发生；在食品流通和销售环节普遍缺乏监控和食品溯源。这些事关国民能否使用健康、安全食品的重大问题绝非一朝一夕就能解决的。在“十四五”期间，解决农产品质量安全保障问题，是钦州市现代特色农业示范区高质量发展面临的一项重大挑战。</w:t>
      </w:r>
    </w:p>
    <w:p>
      <w:pPr>
        <w:spacing w:line="240" w:lineRule="auto"/>
        <w:ind w:firstLine="643"/>
      </w:pPr>
      <w:r>
        <w:rPr>
          <w:rFonts w:hint="eastAsia"/>
          <w:b/>
        </w:rPr>
        <w:t>（二）面临资源环境压力。</w:t>
      </w:r>
      <w:r>
        <w:rPr>
          <w:rFonts w:hint="eastAsia"/>
        </w:rPr>
        <w:t>随着工业化、城镇化的加速，农村生态环境遭受侵蚀，环境污染逐步加剧，降低了农业生产力，致使农作物减产，农民利益受到损害。与此同时土地资源约束现象逐渐明显，使得农业生产用地以及相关产业的设施用地、配套用地紧缺，资源要素配置亟待优化，将会造成农业整体发展空间受到挤压，资源环境承载力不足。如何构建示范区农业绿色发展体系、如何协调好生态环境与农业产业发展关系，走“质量兴农绿色兴农”的发展道路，促农业高质高效、绿色可持续发展，是示范区高质量发展面临的重大挑战。</w:t>
      </w:r>
    </w:p>
    <w:p>
      <w:pPr>
        <w:spacing w:line="240" w:lineRule="auto"/>
        <w:ind w:firstLine="643"/>
      </w:pPr>
      <w:r>
        <w:rPr>
          <w:rFonts w:hint="eastAsia"/>
          <w:b/>
        </w:rPr>
        <w:t>（三）面临市场竞争压力。</w:t>
      </w:r>
      <w:r>
        <w:rPr>
          <w:rFonts w:hint="eastAsia"/>
          <w:bCs/>
        </w:rPr>
        <w:t>在我国对外贸易政策的调整和新冠肺炎疫情的影响下，国内农产品市场竞争日益激烈。而钦州市各县区农业生产外部条件和内部条件都具有一定的相似性。外部条件方面，钦州市部分县区在产业布局、产业结构调整等方面与周边市、县区域农业发展结构存在一定的趋同性，如灵山荔枝和合浦荔枝就存在着一定的趋同性；内部条件方面，钦州市浦北县和灵山县地貌和种植作物都有一定的相似性，农业产业相似性容易产生同质化竞争，将在一定程度上影响钦州市特色农业产业发展空间，增加经营主体收入的不确定性。</w:t>
      </w:r>
      <w:r>
        <w:rPr>
          <w:rFonts w:hint="eastAsia"/>
        </w:rPr>
        <w:br w:type="page"/>
      </w:r>
    </w:p>
    <w:p>
      <w:pPr>
        <w:pStyle w:val="3"/>
      </w:pPr>
      <w:bookmarkStart w:id="7" w:name="_Toc119667482"/>
      <w:r>
        <w:rPr>
          <w:rFonts w:hint="eastAsia"/>
        </w:rPr>
        <w:t>第三章 总体要求</w:t>
      </w:r>
      <w:bookmarkEnd w:id="7"/>
    </w:p>
    <w:p>
      <w:pPr>
        <w:ind w:firstLine="640"/>
      </w:pPr>
    </w:p>
    <w:p>
      <w:pPr>
        <w:pStyle w:val="4"/>
        <w:spacing w:after="292" w:afterLines="50" w:line="240" w:lineRule="auto"/>
      </w:pPr>
      <w:bookmarkStart w:id="8" w:name="_Toc119667483"/>
      <w:r>
        <w:rPr>
          <w:rFonts w:hint="eastAsia"/>
        </w:rPr>
        <w:t>第一节 指导思想</w:t>
      </w:r>
      <w:bookmarkEnd w:id="8"/>
    </w:p>
    <w:p>
      <w:pPr>
        <w:spacing w:line="240" w:lineRule="auto"/>
        <w:ind w:firstLine="640"/>
      </w:pPr>
      <w:r>
        <w:rPr>
          <w:rFonts w:hint="eastAsia"/>
        </w:rPr>
        <w:t>坚持以习近平新时代中国特色社会主义思想为指导，全面贯彻党的十九大和</w:t>
      </w:r>
      <w:r>
        <w:t>十九届历次全会精神</w:t>
      </w:r>
      <w:r>
        <w:rPr>
          <w:rFonts w:hint="eastAsia"/>
        </w:rPr>
        <w:t>，深入贯彻落实习近平总书记视察广西时提出的“扎实推进现代特色农业建设”重要指示精神，根据《中共中央关于制定国民经济和社会发展第十四个五年规划和二〇三五年远景目标的建议》，</w:t>
      </w:r>
      <w:r>
        <w:rPr>
          <w:rFonts w:hint="eastAsia" w:hAnsi="仿宋" w:cs="仿宋"/>
          <w:szCs w:val="32"/>
          <w:shd w:val="clear" w:color="auto" w:fill="FFFFFF"/>
        </w:rPr>
        <w:t>把解决好“三农”问题作为</w:t>
      </w:r>
      <w:r>
        <w:rPr>
          <w:rFonts w:hint="eastAsia" w:ascii="仿宋_GB2312" w:hAnsi="仿宋_GB2312" w:cs="仿宋_GB2312"/>
          <w:szCs w:val="32"/>
        </w:rPr>
        <w:t>全党工作重中之重。</w:t>
      </w:r>
      <w:r>
        <w:rPr>
          <w:rFonts w:hint="eastAsia"/>
        </w:rPr>
        <w:t>按照自治区党委、政府关于“前端抓科技支撑、中间抓生产组织、后端抓市场营销”理念，以建设现代特色农业强区为目标，以实现特色农业规模化、优质化、品牌化为抓手，以强龙头、补链条、聚集群、提品质、创品牌、拓市场为主线，以现代特色农业示范区高质量发展为主题，打造一批特色明显、链条完善、融合度高的现代农业示范区，培育一批龙头引领、效益显著、带动力强的农业产业集群，形成一批政策集成、要素集聚、功能集合的乡村富民产业高地，引领带动钦州市特色农业高质量发展，促进产业兴旺助力乡村全面振兴，奋力谱写“十四五”钦州市现代特色农业示范区发展新篇章。</w:t>
      </w:r>
    </w:p>
    <w:p>
      <w:pPr>
        <w:pStyle w:val="4"/>
        <w:spacing w:before="292" w:beforeLines="50" w:after="292" w:afterLines="50" w:line="240" w:lineRule="auto"/>
      </w:pPr>
      <w:bookmarkStart w:id="9" w:name="_Toc119667484"/>
      <w:r>
        <w:rPr>
          <w:rFonts w:hint="eastAsia"/>
        </w:rPr>
        <w:t>第二节 基本原则</w:t>
      </w:r>
      <w:bookmarkEnd w:id="9"/>
    </w:p>
    <w:p>
      <w:pPr>
        <w:spacing w:line="240" w:lineRule="auto"/>
        <w:ind w:firstLine="643"/>
        <w:rPr>
          <w:bCs/>
        </w:rPr>
      </w:pPr>
      <w:r>
        <w:rPr>
          <w:rFonts w:hint="eastAsia"/>
          <w:b/>
        </w:rPr>
        <w:t>一、坚持市场主导，培育新型经营主体。</w:t>
      </w:r>
      <w:r>
        <w:rPr>
          <w:rFonts w:hint="eastAsia"/>
          <w:bCs/>
        </w:rPr>
        <w:t>以市场为导向，对外大力引入龙头企业，对内培育、扶持合作社、家庭农场、专业大户等新型经营主体。探索扶持新的生产经营方式，支持示范区经营主体发展壮大，着力构建新型农业经营体系，吸引社会资本投入示范区建设。引导经营主体实行农业产业化经营、适度规模化经营，带动农户发展现代农业。</w:t>
      </w:r>
    </w:p>
    <w:p>
      <w:pPr>
        <w:spacing w:line="240" w:lineRule="auto"/>
        <w:ind w:firstLine="643"/>
        <w:rPr>
          <w:bCs/>
        </w:rPr>
      </w:pPr>
      <w:r>
        <w:rPr>
          <w:rFonts w:hint="eastAsia"/>
          <w:b/>
        </w:rPr>
        <w:t>二、坚持规划先行，确保建设持续性。</w:t>
      </w:r>
      <w:r>
        <w:rPr>
          <w:rFonts w:hint="eastAsia"/>
          <w:bCs/>
        </w:rPr>
        <w:t>科学编制示范区建设规划，系统筹划特色产业和空间布局。按照发展定位和发展目标，规划切实可行的建设内容、建设规模和经营模式，合理安排实施进度，提高规划的前瞻性和可操作性。</w:t>
      </w:r>
    </w:p>
    <w:p>
      <w:pPr>
        <w:spacing w:line="240" w:lineRule="auto"/>
        <w:ind w:firstLine="643"/>
        <w:rPr>
          <w:bCs/>
        </w:rPr>
      </w:pPr>
      <w:r>
        <w:rPr>
          <w:rFonts w:hint="eastAsia"/>
          <w:b/>
        </w:rPr>
        <w:t>三、坚持资金扶持，优先安排建设项目。</w:t>
      </w:r>
      <w:r>
        <w:rPr>
          <w:rFonts w:hint="eastAsia"/>
          <w:bCs/>
        </w:rPr>
        <w:t>积极引导有关单位在政策、资金安排上扶持示范区建设，重点用于示范区内公共基础设施建设；统筹整合高标准农田建设、生态乡村建设、农业科技、农业标准化、农业产业化、农田水利等资金，优先支持示范区符合条件的建设项目。</w:t>
      </w:r>
    </w:p>
    <w:p>
      <w:pPr>
        <w:spacing w:line="240" w:lineRule="auto"/>
        <w:ind w:firstLine="643"/>
        <w:rPr>
          <w:bCs/>
        </w:rPr>
      </w:pPr>
      <w:r>
        <w:rPr>
          <w:rFonts w:hint="eastAsia"/>
          <w:b/>
        </w:rPr>
        <w:t>四、坚持统筹协调，兼顾各方利益。</w:t>
      </w:r>
      <w:r>
        <w:rPr>
          <w:rFonts w:hint="eastAsia"/>
          <w:bCs/>
        </w:rPr>
        <w:t>统筹兼顾各方利益，协调好企业、合作社、农户的关系，积极探索地租、劳务、分红等利益分配方式，尝试土地托管、土地股份合作等新模式，激发农民干事创业热情，调动农民参与示范区建设的积极性，完善农业产业服务体系建设，提高企业发展信心，促进企业、农民共同受益，产业、农村同步发展。</w:t>
      </w:r>
    </w:p>
    <w:p>
      <w:pPr>
        <w:pStyle w:val="4"/>
        <w:spacing w:before="292" w:beforeLines="50" w:after="292" w:afterLines="50" w:line="240" w:lineRule="auto"/>
      </w:pPr>
      <w:bookmarkStart w:id="10" w:name="_Toc119667485"/>
      <w:r>
        <w:rPr>
          <w:rFonts w:hint="eastAsia"/>
        </w:rPr>
        <w:t>第三节 发展定位</w:t>
      </w:r>
      <w:bookmarkEnd w:id="10"/>
    </w:p>
    <w:p>
      <w:pPr>
        <w:spacing w:line="240" w:lineRule="auto"/>
        <w:ind w:firstLine="640"/>
      </w:pPr>
      <w:r>
        <w:rPr>
          <w:rFonts w:hint="eastAsia"/>
        </w:rPr>
        <w:t>立足自身的发展现状、产业基础和资源优势，对标全区、全国示范区，赶超跨越，以更高的维度、更大的格局，统筹推进钦州市示范区，全力推进钦州市特色农业示范区现代化发展，为深入实施乡村振兴战略奠定坚实的发展基础。</w:t>
      </w:r>
    </w:p>
    <w:p>
      <w:pPr>
        <w:spacing w:line="240" w:lineRule="auto"/>
        <w:ind w:firstLine="643"/>
      </w:pPr>
      <w:r>
        <w:rPr>
          <w:rFonts w:hint="eastAsia"/>
          <w:b/>
        </w:rPr>
        <w:t>一、“两湾联动”合作示范区。</w:t>
      </w:r>
      <w:r>
        <w:rPr>
          <w:rFonts w:hint="eastAsia"/>
        </w:rPr>
        <w:t>钦州处在粤港澳大湾区辐射范围之内，</w:t>
      </w:r>
      <w:r>
        <w:rPr>
          <w:rFonts w:hint="eastAsia" w:ascii="仿宋_GB2312"/>
          <w:szCs w:val="32"/>
          <w:shd w:val="clear" w:color="auto" w:fill="FFFFFF"/>
        </w:rPr>
        <w:t>积极构建粤港澳大湾区与钦州湾“两湾联动”的新格局</w:t>
      </w:r>
      <w:r>
        <w:rPr>
          <w:rFonts w:hint="eastAsia"/>
        </w:rPr>
        <w:t>，以现代特色农业示范区为载体，打造联通钦州湾和粤港澳大湾区的农业合作发展平台，加强钦州湾与大湾区城市群之间的农业生产、科技、人才、文化等全方位开放合作。着力推动构建钦州大宗农副产品、特色农产品进入粤港澳大湾区的物流通道和销售渠道，构建直达粤港澳大湾区的农副产品物流体系，全面打造“两湾联动”合作示范区。</w:t>
      </w:r>
    </w:p>
    <w:p>
      <w:pPr>
        <w:spacing w:line="240" w:lineRule="auto"/>
        <w:ind w:firstLine="643"/>
        <w:rPr>
          <w:b/>
        </w:rPr>
      </w:pPr>
      <w:r>
        <w:rPr>
          <w:rFonts w:hint="eastAsia"/>
          <w:b/>
        </w:rPr>
        <w:t>二、山海特色现代农业样板区。</w:t>
      </w:r>
      <w:r>
        <w:rPr>
          <w:rFonts w:hint="eastAsia"/>
        </w:rPr>
        <w:t>钦州市坐落于广西北部湾，</w:t>
      </w:r>
      <w:r>
        <w:rPr>
          <w:rFonts w:ascii="Arial" w:hAnsi="Arial" w:cs="Arial"/>
          <w:shd w:val="clear" w:color="auto" w:fill="FFFFFF"/>
        </w:rPr>
        <w:t>山海兼优</w:t>
      </w:r>
      <w:r>
        <w:rPr>
          <w:rFonts w:hint="eastAsia" w:ascii="Arial" w:hAnsi="Arial" w:cs="Arial"/>
          <w:shd w:val="clear" w:color="auto" w:fill="FFFFFF"/>
        </w:rPr>
        <w:t>，</w:t>
      </w:r>
      <w:r>
        <w:rPr>
          <w:rFonts w:ascii="Arial" w:hAnsi="Arial" w:cs="Arial"/>
          <w:shd w:val="clear" w:color="auto" w:fill="FFFFFF"/>
        </w:rPr>
        <w:t>物产丰富</w:t>
      </w:r>
      <w:r>
        <w:rPr>
          <w:rFonts w:hint="eastAsia" w:ascii="Arial" w:hAnsi="Arial" w:cs="Arial"/>
          <w:shd w:val="clear" w:color="auto" w:fill="FFFFFF"/>
        </w:rPr>
        <w:t>，要</w:t>
      </w:r>
      <w:r>
        <w:rPr>
          <w:rFonts w:hint="eastAsia"/>
        </w:rPr>
        <w:t>统筹山海资源优势，让山对接海、海溢向山，通过</w:t>
      </w:r>
      <w:r>
        <w:t>山海协作</w:t>
      </w:r>
      <w:r>
        <w:rPr>
          <w:rFonts w:hint="eastAsia"/>
        </w:rPr>
        <w:t>、山海资源互补</w:t>
      </w:r>
      <w:r>
        <w:t>拓展</w:t>
      </w:r>
      <w:r>
        <w:rPr>
          <w:rFonts w:hint="eastAsia"/>
        </w:rPr>
        <w:t>钦州</w:t>
      </w:r>
      <w:r>
        <w:t>产业转型升级的空间，</w:t>
      </w:r>
      <w:r>
        <w:rPr>
          <w:rFonts w:hint="eastAsia"/>
        </w:rPr>
        <w:t>把钦州市打造成为极具山海特色的现代农业样板区。</w:t>
      </w:r>
    </w:p>
    <w:p>
      <w:pPr>
        <w:spacing w:line="240" w:lineRule="auto"/>
        <w:ind w:firstLine="643"/>
      </w:pPr>
      <w:r>
        <w:rPr>
          <w:rFonts w:hint="eastAsia"/>
          <w:b/>
        </w:rPr>
        <w:t>三、农产品品牌强市样板区。</w:t>
      </w:r>
      <w:r>
        <w:rPr>
          <w:shd w:val="clear" w:color="auto" w:fill="FFFFFF"/>
        </w:rPr>
        <w:t>品牌强农，是农业高质量发展的迫切要求，是改善农业供给结构、提高供给质量和效率的现实路径，是提升农业竞争力的必然选择。</w:t>
      </w:r>
      <w:r>
        <w:rPr>
          <w:rFonts w:hint="eastAsia"/>
          <w:shd w:val="clear" w:color="auto" w:fill="FFFFFF"/>
        </w:rPr>
        <w:t>依托</w:t>
      </w:r>
      <w:r>
        <w:rPr>
          <w:rFonts w:hint="eastAsia"/>
        </w:rPr>
        <w:t>钦州大蚝、钦州辣椒、钦州海鸭蛋、</w:t>
      </w:r>
      <w:r>
        <w:rPr>
          <w:rFonts w:hint="eastAsia"/>
          <w:lang w:bidi="en-US"/>
        </w:rPr>
        <w:t>钦北荔枝、钦州黄瓜皮、灵山荔枝、灵山</w:t>
      </w:r>
      <w:r>
        <w:rPr>
          <w:lang w:bidi="en-US"/>
        </w:rPr>
        <w:t>水牛奶</w:t>
      </w:r>
      <w:r>
        <w:rPr>
          <w:rFonts w:hint="eastAsia"/>
          <w:lang w:bidi="en-US"/>
        </w:rPr>
        <w:t>、浦北妃子笑荔枝、浦北黑猪、官垌草鱼等知名地标品牌，</w:t>
      </w:r>
      <w:r>
        <w:rPr>
          <w:shd w:val="clear" w:color="auto" w:fill="FFFFFF"/>
        </w:rPr>
        <w:t>深入实施品牌强农</w:t>
      </w:r>
      <w:r>
        <w:rPr>
          <w:rFonts w:hint="eastAsia"/>
          <w:shd w:val="clear" w:color="auto" w:fill="FFFFFF"/>
        </w:rPr>
        <w:t>、品牌强市</w:t>
      </w:r>
      <w:r>
        <w:rPr>
          <w:shd w:val="clear" w:color="auto" w:fill="FFFFFF"/>
        </w:rPr>
        <w:t>战略，探索形成农业品牌建设的</w:t>
      </w:r>
      <w:r>
        <w:rPr>
          <w:rFonts w:hint="eastAsia"/>
          <w:shd w:val="clear" w:color="auto" w:fill="FFFFFF"/>
        </w:rPr>
        <w:t>“钦州</w:t>
      </w:r>
      <w:r>
        <w:rPr>
          <w:shd w:val="clear" w:color="auto" w:fill="FFFFFF"/>
        </w:rPr>
        <w:t>样板</w:t>
      </w:r>
      <w:r>
        <w:rPr>
          <w:rFonts w:hint="eastAsia"/>
          <w:shd w:val="clear" w:color="auto" w:fill="FFFFFF"/>
        </w:rPr>
        <w:t>”</w:t>
      </w:r>
      <w:r>
        <w:rPr>
          <w:shd w:val="clear" w:color="auto" w:fill="FFFFFF"/>
        </w:rPr>
        <w:t>，打造一个国内外享有较高知名度和影响力的</w:t>
      </w:r>
      <w:r>
        <w:rPr>
          <w:rFonts w:hint="eastAsia"/>
          <w:shd w:val="clear" w:color="auto" w:fill="FFFFFF"/>
        </w:rPr>
        <w:t>钦州</w:t>
      </w:r>
      <w:r>
        <w:rPr>
          <w:rFonts w:hint="eastAsia"/>
        </w:rPr>
        <w:t>“海味山珍·长寿钦州”农产品形象</w:t>
      </w:r>
      <w:r>
        <w:rPr>
          <w:rFonts w:hint="eastAsia"/>
          <w:shd w:val="clear" w:color="auto" w:fill="FFFFFF"/>
        </w:rPr>
        <w:t>，</w:t>
      </w:r>
      <w:r>
        <w:rPr>
          <w:shd w:val="clear" w:color="auto" w:fill="FFFFFF"/>
        </w:rPr>
        <w:t>培育一批区域公用品牌和企业产品品牌</w:t>
      </w:r>
      <w:r>
        <w:rPr>
          <w:rFonts w:hint="eastAsia"/>
          <w:shd w:val="clear" w:color="auto" w:fill="FFFFFF"/>
        </w:rPr>
        <w:t>，</w:t>
      </w:r>
      <w:r>
        <w:rPr>
          <w:shd w:val="clear" w:color="auto" w:fill="FFFFFF"/>
        </w:rPr>
        <w:t>制定一个</w:t>
      </w:r>
      <w:r>
        <w:rPr>
          <w:rFonts w:hint="eastAsia"/>
          <w:shd w:val="clear" w:color="auto" w:fill="FFFFFF"/>
        </w:rPr>
        <w:t>钦州</w:t>
      </w:r>
      <w:r>
        <w:rPr>
          <w:shd w:val="clear" w:color="auto" w:fill="FFFFFF"/>
        </w:rPr>
        <w:t>农产品知名品牌目录制度</w:t>
      </w:r>
      <w:r>
        <w:rPr>
          <w:rFonts w:hint="eastAsia"/>
          <w:shd w:val="clear" w:color="auto" w:fill="FFFFFF"/>
        </w:rPr>
        <w:t>，</w:t>
      </w:r>
      <w:r>
        <w:rPr>
          <w:shd w:val="clear" w:color="auto" w:fill="FFFFFF"/>
        </w:rPr>
        <w:t>建立一套实体店与网店相结合的</w:t>
      </w:r>
      <w:r>
        <w:rPr>
          <w:rFonts w:hint="eastAsia"/>
          <w:shd w:val="clear" w:color="auto" w:fill="FFFFFF"/>
        </w:rPr>
        <w:t>钦州</w:t>
      </w:r>
      <w:r>
        <w:rPr>
          <w:shd w:val="clear" w:color="auto" w:fill="FFFFFF"/>
        </w:rPr>
        <w:t>品牌农产品营销体系的</w:t>
      </w:r>
      <w:r>
        <w:rPr>
          <w:rFonts w:hint="eastAsia"/>
          <w:shd w:val="clear" w:color="auto" w:fill="FFFFFF"/>
        </w:rPr>
        <w:t>“</w:t>
      </w:r>
      <w:r>
        <w:rPr>
          <w:shd w:val="clear" w:color="auto" w:fill="FFFFFF"/>
        </w:rPr>
        <w:t>四个一</w:t>
      </w:r>
      <w:r>
        <w:rPr>
          <w:rFonts w:hint="eastAsia"/>
          <w:shd w:val="clear" w:color="auto" w:fill="FFFFFF"/>
        </w:rPr>
        <w:t>”</w:t>
      </w:r>
      <w:r>
        <w:rPr>
          <w:shd w:val="clear" w:color="auto" w:fill="FFFFFF"/>
        </w:rPr>
        <w:t>目标</w:t>
      </w:r>
      <w:r>
        <w:rPr>
          <w:rFonts w:hint="eastAsia"/>
          <w:shd w:val="clear" w:color="auto" w:fill="FFFFFF"/>
        </w:rPr>
        <w:t>，全面打造广西农产品品牌强市样板区。</w:t>
      </w:r>
      <w:r>
        <w:rPr>
          <w:shd w:val="clear" w:color="auto" w:fill="FFFFFF"/>
        </w:rPr>
        <w:t>　</w:t>
      </w:r>
    </w:p>
    <w:p>
      <w:pPr>
        <w:spacing w:line="240" w:lineRule="auto"/>
        <w:ind w:firstLine="643"/>
        <w:rPr>
          <w:b/>
        </w:rPr>
      </w:pPr>
      <w:r>
        <w:rPr>
          <w:rFonts w:hint="eastAsia"/>
          <w:b/>
          <w:bCs/>
        </w:rPr>
        <w:t>四、农业经营机制创新先行区。</w:t>
      </w:r>
      <w:r>
        <w:rPr>
          <w:rFonts w:hint="eastAsia"/>
        </w:rPr>
        <w:t>钦州市围绕现代特色农业建设，深化农村土地制度改革，不断落实小农户土地承包权、宅基地使用权、集体收益分配权。同时加快构建新型农业社会化服务体系，为农业生产经营提供低成本、便利化、全方位的服务，发挥经营性服务组织的生力军作用，将钦州市现代特色农业示范区打造成为农业经营机制创新先行区。</w:t>
      </w:r>
    </w:p>
    <w:p>
      <w:pPr>
        <w:pStyle w:val="4"/>
        <w:spacing w:before="292" w:beforeLines="50" w:after="292" w:afterLines="50" w:line="240" w:lineRule="auto"/>
      </w:pPr>
      <w:bookmarkStart w:id="11" w:name="_Toc119667486"/>
      <w:r>
        <w:rPr>
          <w:rFonts w:hint="eastAsia"/>
        </w:rPr>
        <w:t>第四节 发展目标</w:t>
      </w:r>
      <w:bookmarkEnd w:id="11"/>
    </w:p>
    <w:p>
      <w:pPr>
        <w:pStyle w:val="5"/>
        <w:spacing w:line="240" w:lineRule="auto"/>
        <w:ind w:firstLine="643"/>
        <w:rPr>
          <w:rFonts w:hAnsi="仿宋"/>
        </w:rPr>
      </w:pPr>
      <w:r>
        <w:rPr>
          <w:rFonts w:hint="eastAsia" w:hAnsi="仿宋"/>
        </w:rPr>
        <w:t>一、总体目标</w:t>
      </w:r>
    </w:p>
    <w:p>
      <w:pPr>
        <w:spacing w:line="240" w:lineRule="auto"/>
        <w:ind w:firstLine="640"/>
        <w:rPr>
          <w:rFonts w:hAnsi="仿宋"/>
        </w:rPr>
      </w:pPr>
      <w:r>
        <w:rPr>
          <w:rFonts w:hint="eastAsia" w:hAnsi="仿宋"/>
        </w:rPr>
        <w:t>“十四五”时期，发挥钦州市独特的地理优势，充分利用粤港澳大湾区国家战略的良好机遇，</w:t>
      </w:r>
      <w:r>
        <w:rPr>
          <w:rFonts w:hint="eastAsia" w:hAnsi="仿宋"/>
          <w:szCs w:val="32"/>
          <w:shd w:val="clear" w:color="auto" w:fill="FFFFFF"/>
        </w:rPr>
        <w:t>构建粤港澳大湾区与钦州湾“两湾联动”的新格局，</w:t>
      </w:r>
      <w:r>
        <w:rPr>
          <w:rFonts w:hint="eastAsia" w:hAnsi="仿宋"/>
        </w:rPr>
        <w:t>与现代特色农业产业“10+3”提升行动相结合，深入打造种植业、畜禽业、水产业、林业、休闲农业五大类示范区。到2025年，现代特色农业示范区建设成效显著，产业体系、生产体系、经营体系不断完善，农业科技与装备支撑不断提升，三大产业不断融合发展，质量兴农、绿色兴农、品牌强农战略持续推进。</w:t>
      </w:r>
    </w:p>
    <w:p>
      <w:pPr>
        <w:pStyle w:val="5"/>
        <w:spacing w:line="240" w:lineRule="auto"/>
        <w:ind w:firstLine="643"/>
        <w:rPr>
          <w:rFonts w:hAnsi="仿宋"/>
        </w:rPr>
      </w:pPr>
      <w:r>
        <w:rPr>
          <w:rFonts w:hint="eastAsia" w:hAnsi="仿宋"/>
        </w:rPr>
        <w:t>二、具体目标</w:t>
      </w:r>
    </w:p>
    <w:p>
      <w:pPr>
        <w:spacing w:line="240" w:lineRule="auto"/>
        <w:ind w:firstLine="643"/>
        <w:rPr>
          <w:rFonts w:hAnsi="仿宋"/>
          <w:b/>
          <w:bCs/>
        </w:rPr>
      </w:pPr>
      <w:r>
        <w:rPr>
          <w:rFonts w:hint="eastAsia" w:hAnsi="仿宋"/>
          <w:b/>
          <w:bCs/>
        </w:rPr>
        <w:t>（一）数量目标</w:t>
      </w:r>
    </w:p>
    <w:p>
      <w:pPr>
        <w:spacing w:line="240" w:lineRule="auto"/>
        <w:ind w:firstLine="640"/>
      </w:pPr>
      <w:r>
        <w:rPr>
          <w:rFonts w:hint="eastAsia" w:hAnsi="仿宋"/>
        </w:rPr>
        <w:t>到2025年，钦州市实现国家级农业现代化示范区零突破，创建国家级农业现代化示范</w:t>
      </w:r>
      <w:r>
        <w:rPr>
          <w:rFonts w:hint="eastAsia"/>
        </w:rPr>
        <w:t>区1个；实施自治区级和县级示范区倍增计划，累计创建自治区级示范区</w:t>
      </w:r>
      <w:r>
        <w:t>28</w:t>
      </w:r>
      <w:r>
        <w:rPr>
          <w:rFonts w:hint="eastAsia"/>
        </w:rPr>
        <w:t>个，县级示范区50个。</w:t>
      </w:r>
    </w:p>
    <w:p>
      <w:pPr>
        <w:spacing w:line="240" w:lineRule="auto"/>
        <w:ind w:firstLine="640"/>
      </w:pPr>
      <w:r>
        <w:rPr>
          <w:rFonts w:hint="eastAsia"/>
        </w:rPr>
        <w:t>累计创建各级示范区达到1260个。</w:t>
      </w:r>
    </w:p>
    <w:p>
      <w:pPr>
        <w:spacing w:line="240" w:lineRule="auto"/>
        <w:ind w:firstLine="643"/>
        <w:rPr>
          <w:b/>
          <w:bCs/>
        </w:rPr>
      </w:pPr>
      <w:r>
        <w:rPr>
          <w:rFonts w:hint="eastAsia"/>
          <w:b/>
          <w:bCs/>
        </w:rPr>
        <w:t>（二）质量目标</w:t>
      </w:r>
    </w:p>
    <w:p>
      <w:pPr>
        <w:spacing w:line="240" w:lineRule="auto"/>
        <w:ind w:firstLine="643"/>
      </w:pPr>
      <w:r>
        <w:rPr>
          <w:rFonts w:hint="eastAsia"/>
          <w:b/>
          <w:bCs/>
        </w:rPr>
        <w:t>——现代化目标。</w:t>
      </w:r>
      <w:r>
        <w:rPr>
          <w:rFonts w:hint="eastAsia"/>
        </w:rPr>
        <w:t>推进示范区建设提质增效，加快构建现代农业生产体系，到2025年，自治区现代特色农业示范区8</w:t>
      </w:r>
      <w:r>
        <w:t>0</w:t>
      </w:r>
      <w:r>
        <w:rPr>
          <w:rFonts w:hint="eastAsia"/>
        </w:rPr>
        <w:t>%以上建成数字化信息服务平台，实现信息共享，数据互通。</w:t>
      </w:r>
    </w:p>
    <w:p>
      <w:pPr>
        <w:spacing w:line="240" w:lineRule="auto"/>
        <w:ind w:firstLine="643"/>
      </w:pPr>
      <w:r>
        <w:rPr>
          <w:rFonts w:hint="eastAsia"/>
          <w:b/>
          <w:bCs/>
        </w:rPr>
        <w:t>——规模化目标。</w:t>
      </w:r>
      <w:r>
        <w:rPr>
          <w:rFonts w:hint="eastAsia"/>
        </w:rPr>
        <w:t>围绕大蚝、对虾、荔枝、柑橘、橄榄、黄皮、糖料蔗、茶叶、紫米、辣椒、黑猪、肉鸡、蜜蜂、草鱼等特色农业，持续推动示范区建设增点扩面，将核心区向拓展区和辐射区延伸。到2025年，钦州市示范区总面积达到</w:t>
      </w:r>
      <w:r>
        <w:t>8</w:t>
      </w:r>
      <w:r>
        <w:rPr>
          <w:rFonts w:hint="eastAsia"/>
        </w:rPr>
        <w:t>万亩以上，其中自治区现代特色农业示范区总面积达到</w:t>
      </w:r>
      <w:r>
        <w:t>4</w:t>
      </w:r>
      <w:r>
        <w:rPr>
          <w:rFonts w:hint="eastAsia"/>
        </w:rPr>
        <w:t>万亩以上。</w:t>
      </w:r>
    </w:p>
    <w:p>
      <w:pPr>
        <w:spacing w:line="240" w:lineRule="auto"/>
        <w:ind w:firstLine="643"/>
      </w:pPr>
      <w:r>
        <w:rPr>
          <w:rFonts w:hint="eastAsia"/>
          <w:b/>
          <w:bCs/>
        </w:rPr>
        <w:t>——优质化目标。</w:t>
      </w:r>
      <w:r>
        <w:rPr>
          <w:rFonts w:hint="eastAsia"/>
        </w:rPr>
        <w:t>推广新技术和新品种，提升特色产品的内在品质和外在品相，以品质和品相赢得市场并实现增值。到2025年，引进新品种</w:t>
      </w:r>
      <w:r>
        <w:t>100</w:t>
      </w:r>
      <w:r>
        <w:rPr>
          <w:rFonts w:hint="eastAsia"/>
        </w:rPr>
        <w:t>个，新技术</w:t>
      </w:r>
      <w:r>
        <w:t>25</w:t>
      </w:r>
      <w:r>
        <w:rPr>
          <w:rFonts w:hint="eastAsia"/>
        </w:rPr>
        <w:t>项。全面推行农产品质量安全合格证管理制度，实现农产品质量安全可追溯。</w:t>
      </w:r>
    </w:p>
    <w:p>
      <w:pPr>
        <w:spacing w:line="240" w:lineRule="auto"/>
        <w:ind w:firstLine="643"/>
      </w:pPr>
      <w:r>
        <w:rPr>
          <w:rFonts w:hint="eastAsia"/>
          <w:b/>
          <w:bCs/>
        </w:rPr>
        <w:t>——品牌化目标。</w:t>
      </w:r>
      <w:r>
        <w:rPr>
          <w:rFonts w:hint="eastAsia"/>
        </w:rPr>
        <w:t>建立和完善示范区农产品品牌培育、发展和保护体系，形成“培育品牌、发展品牌、运用品牌、宣传品牌、保护品牌”的工作机制。到2025年，力争“绿色农产品”认证数量达到</w:t>
      </w:r>
      <w:r>
        <w:t>80</w:t>
      </w:r>
      <w:r>
        <w:rPr>
          <w:rFonts w:hint="eastAsia"/>
        </w:rPr>
        <w:t>个，“有机农产品”认证数量达到</w:t>
      </w:r>
      <w:r>
        <w:t>20</w:t>
      </w:r>
      <w:r>
        <w:rPr>
          <w:rFonts w:hint="eastAsia"/>
        </w:rPr>
        <w:t>个， “地理标志农产品”认证数量达到</w:t>
      </w:r>
      <w:r>
        <w:t>25</w:t>
      </w:r>
      <w:r>
        <w:rPr>
          <w:rFonts w:hint="eastAsia"/>
        </w:rPr>
        <w:t>个以上。</w:t>
      </w:r>
    </w:p>
    <w:p>
      <w:pPr>
        <w:spacing w:line="240" w:lineRule="auto"/>
        <w:ind w:firstLine="643"/>
      </w:pPr>
      <w:r>
        <w:rPr>
          <w:rFonts w:hint="eastAsia"/>
          <w:b/>
          <w:bCs/>
        </w:rPr>
        <w:t>——全产业链目标。</w:t>
      </w:r>
      <w:r>
        <w:rPr>
          <w:rFonts w:hint="eastAsia"/>
        </w:rPr>
        <w:t>推动示范区全产业链发展，以生产环节为中心，打造示范区产前产中产后一条龙、种养加销一体化的全产业链。到2025年，主导产品加工转化率高于全国平均水平，达到</w:t>
      </w:r>
      <w:r>
        <w:t>7</w:t>
      </w:r>
      <w:r>
        <w:rPr>
          <w:rFonts w:hint="eastAsia"/>
        </w:rPr>
        <w:t>0%以上，精深加工水平不断提高，食用农产品生产加工的冷链物流及配套设施水平大幅度提升。</w:t>
      </w:r>
    </w:p>
    <w:p>
      <w:pPr>
        <w:spacing w:line="240" w:lineRule="auto"/>
        <w:ind w:firstLine="643"/>
      </w:pPr>
      <w:r>
        <w:rPr>
          <w:rFonts w:hint="eastAsia"/>
          <w:b/>
          <w:bCs/>
        </w:rPr>
        <w:t>——带农增收目标。</w:t>
      </w:r>
      <w:r>
        <w:rPr>
          <w:rFonts w:hint="eastAsia"/>
        </w:rPr>
        <w:t>带动农民增收致富和发展壮大村集体经济，示范区内农村居民人均可支配收入比周边地区高出2</w:t>
      </w:r>
      <w:r>
        <w:t>0%</w:t>
      </w:r>
      <w:r>
        <w:rPr>
          <w:rFonts w:hint="eastAsia"/>
        </w:rPr>
        <w:t>以上。自治区现代特色农业示范区内农村居民人均可支配收入力争高于全国平均水平。</w:t>
      </w:r>
    </w:p>
    <w:p>
      <w:pPr>
        <w:widowControl/>
        <w:spacing w:line="240" w:lineRule="auto"/>
        <w:ind w:firstLineChars="71"/>
        <w:jc w:val="center"/>
        <w:rPr>
          <w:b/>
          <w:sz w:val="28"/>
        </w:rPr>
      </w:pPr>
      <w:r>
        <w:rPr>
          <w:rFonts w:hint="eastAsia"/>
          <w:b/>
          <w:sz w:val="28"/>
        </w:rPr>
        <w:t>表3-</w:t>
      </w:r>
      <w:r>
        <w:rPr>
          <w:b/>
          <w:sz w:val="28"/>
        </w:rPr>
        <w:t xml:space="preserve">1 </w:t>
      </w:r>
      <w:r>
        <w:rPr>
          <w:rFonts w:hint="eastAsia"/>
          <w:b/>
          <w:sz w:val="28"/>
        </w:rPr>
        <w:t>“十四五”期间钦州市各县（区）示范区建设任务分解表</w:t>
      </w:r>
    </w:p>
    <w:tbl>
      <w:tblPr>
        <w:tblStyle w:val="24"/>
        <w:tblpPr w:leftFromText="180" w:rightFromText="180" w:vertAnchor="text" w:horzAnchor="margin" w:tblpX="108" w:tblpY="119"/>
        <w:tblOverlap w:val="never"/>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843"/>
        <w:gridCol w:w="709"/>
        <w:gridCol w:w="1417"/>
        <w:gridCol w:w="1560"/>
        <w:gridCol w:w="17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vMerge w:val="restart"/>
            <w:tcBorders>
              <w:top w:val="single" w:color="auto" w:sz="4" w:space="0"/>
              <w:left w:val="single" w:color="auto" w:sz="4" w:space="0"/>
              <w:right w:val="single" w:color="auto" w:sz="4" w:space="0"/>
            </w:tcBorders>
            <w:vAlign w:val="center"/>
          </w:tcPr>
          <w:p>
            <w:pPr>
              <w:pStyle w:val="31"/>
              <w:spacing w:line="240" w:lineRule="exact"/>
              <w:jc w:val="center"/>
              <w:rPr>
                <w:b/>
                <w:bCs/>
                <w:sz w:val="22"/>
              </w:rPr>
            </w:pPr>
            <w:r>
              <w:rPr>
                <w:rFonts w:hint="eastAsia"/>
                <w:b/>
                <w:bCs/>
                <w:sz w:val="22"/>
              </w:rPr>
              <w:t>县区</w:t>
            </w:r>
          </w:p>
        </w:tc>
        <w:tc>
          <w:tcPr>
            <w:tcW w:w="850" w:type="dxa"/>
            <w:vMerge w:val="restart"/>
            <w:tcBorders>
              <w:top w:val="single" w:color="auto" w:sz="4" w:space="0"/>
              <w:left w:val="single" w:color="auto" w:sz="4" w:space="0"/>
              <w:right w:val="single" w:color="auto" w:sz="4" w:space="0"/>
            </w:tcBorders>
            <w:vAlign w:val="center"/>
          </w:tcPr>
          <w:p>
            <w:pPr>
              <w:pStyle w:val="31"/>
              <w:spacing w:line="240" w:lineRule="exact"/>
              <w:jc w:val="center"/>
              <w:rPr>
                <w:b/>
                <w:bCs/>
                <w:sz w:val="22"/>
              </w:rPr>
            </w:pPr>
            <w:r>
              <w:rPr>
                <w:rFonts w:hint="eastAsia"/>
                <w:b/>
                <w:bCs/>
                <w:sz w:val="22"/>
              </w:rPr>
              <w:t>合计</w:t>
            </w:r>
          </w:p>
        </w:tc>
        <w:tc>
          <w:tcPr>
            <w:tcW w:w="1843" w:type="dxa"/>
            <w:tcBorders>
              <w:top w:val="single" w:color="auto" w:sz="4" w:space="0"/>
              <w:left w:val="single" w:color="auto" w:sz="4" w:space="0"/>
              <w:right w:val="single" w:color="auto" w:sz="4" w:space="0"/>
            </w:tcBorders>
            <w:vAlign w:val="center"/>
          </w:tcPr>
          <w:p>
            <w:pPr>
              <w:pStyle w:val="31"/>
              <w:spacing w:line="240" w:lineRule="exact"/>
              <w:jc w:val="center"/>
              <w:rPr>
                <w:b/>
                <w:bCs/>
                <w:sz w:val="22"/>
              </w:rPr>
            </w:pPr>
            <w:r>
              <w:rPr>
                <w:rFonts w:hint="eastAsia"/>
                <w:b/>
                <w:bCs/>
                <w:sz w:val="22"/>
              </w:rPr>
              <w:t>国家级</w:t>
            </w:r>
          </w:p>
        </w:tc>
        <w:tc>
          <w:tcPr>
            <w:tcW w:w="3686" w:type="dxa"/>
            <w:gridSpan w:val="3"/>
            <w:tcBorders>
              <w:top w:val="single" w:color="auto" w:sz="4" w:space="0"/>
              <w:left w:val="single" w:color="auto" w:sz="4" w:space="0"/>
              <w:right w:val="single" w:color="auto" w:sz="4" w:space="0"/>
            </w:tcBorders>
            <w:vAlign w:val="center"/>
          </w:tcPr>
          <w:p>
            <w:pPr>
              <w:pStyle w:val="31"/>
              <w:spacing w:line="240" w:lineRule="exact"/>
              <w:jc w:val="center"/>
              <w:rPr>
                <w:b/>
                <w:bCs/>
                <w:sz w:val="22"/>
              </w:rPr>
            </w:pPr>
            <w:r>
              <w:rPr>
                <w:rFonts w:hint="eastAsia"/>
                <w:b/>
                <w:bCs/>
                <w:sz w:val="22"/>
              </w:rPr>
              <w:t>自治区级示范区</w:t>
            </w:r>
          </w:p>
        </w:tc>
        <w:tc>
          <w:tcPr>
            <w:tcW w:w="1734" w:type="dxa"/>
            <w:tcBorders>
              <w:top w:val="single" w:color="auto" w:sz="4" w:space="0"/>
              <w:left w:val="single" w:color="auto" w:sz="4" w:space="0"/>
              <w:right w:val="single" w:color="auto" w:sz="4" w:space="0"/>
            </w:tcBorders>
            <w:vAlign w:val="center"/>
          </w:tcPr>
          <w:p>
            <w:pPr>
              <w:pStyle w:val="31"/>
              <w:spacing w:line="240" w:lineRule="exact"/>
              <w:jc w:val="center"/>
              <w:rPr>
                <w:b/>
                <w:bCs/>
                <w:sz w:val="22"/>
              </w:rPr>
            </w:pPr>
            <w:r>
              <w:rPr>
                <w:rFonts w:hint="eastAsia"/>
                <w:b/>
                <w:bCs/>
                <w:sz w:val="22"/>
              </w:rPr>
              <w:t>县级示范区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vMerge w:val="continue"/>
            <w:tcBorders>
              <w:left w:val="single" w:color="auto" w:sz="4" w:space="0"/>
              <w:bottom w:val="single" w:color="auto" w:sz="4" w:space="0"/>
              <w:right w:val="single" w:color="auto" w:sz="4" w:space="0"/>
            </w:tcBorders>
            <w:vAlign w:val="center"/>
          </w:tcPr>
          <w:p>
            <w:pPr>
              <w:pStyle w:val="31"/>
              <w:spacing w:line="240" w:lineRule="exact"/>
              <w:jc w:val="center"/>
              <w:rPr>
                <w:sz w:val="22"/>
              </w:rPr>
            </w:pPr>
          </w:p>
        </w:tc>
        <w:tc>
          <w:tcPr>
            <w:tcW w:w="850" w:type="dxa"/>
            <w:vMerge w:val="continue"/>
            <w:tcBorders>
              <w:left w:val="single" w:color="auto" w:sz="4" w:space="0"/>
              <w:bottom w:val="single" w:color="auto" w:sz="4" w:space="0"/>
              <w:right w:val="single" w:color="auto" w:sz="4" w:space="0"/>
            </w:tcBorders>
            <w:vAlign w:val="center"/>
          </w:tcPr>
          <w:p>
            <w:pPr>
              <w:pStyle w:val="31"/>
              <w:spacing w:line="240" w:lineRule="exact"/>
              <w:jc w:val="center"/>
              <w:rPr>
                <w:sz w:val="22"/>
              </w:rPr>
            </w:pPr>
          </w:p>
        </w:tc>
        <w:tc>
          <w:tcPr>
            <w:tcW w:w="1843" w:type="dxa"/>
            <w:tcBorders>
              <w:left w:val="single" w:color="auto" w:sz="4" w:space="0"/>
              <w:bottom w:val="single" w:color="auto" w:sz="4" w:space="0"/>
              <w:right w:val="single" w:color="auto" w:sz="4" w:space="0"/>
            </w:tcBorders>
            <w:vAlign w:val="center"/>
          </w:tcPr>
          <w:p>
            <w:pPr>
              <w:pStyle w:val="31"/>
              <w:spacing w:line="240" w:lineRule="exact"/>
              <w:jc w:val="center"/>
              <w:rPr>
                <w:b/>
                <w:sz w:val="22"/>
              </w:rPr>
            </w:pPr>
            <w:r>
              <w:rPr>
                <w:rFonts w:hint="eastAsia"/>
                <w:b/>
                <w:sz w:val="22"/>
              </w:rPr>
              <w:t>新建</w:t>
            </w:r>
          </w:p>
        </w:tc>
        <w:tc>
          <w:tcPr>
            <w:tcW w:w="709" w:type="dxa"/>
            <w:tcBorders>
              <w:left w:val="single" w:color="auto" w:sz="4" w:space="0"/>
              <w:bottom w:val="single" w:color="auto" w:sz="4" w:space="0"/>
              <w:right w:val="single" w:color="auto" w:sz="4" w:space="0"/>
            </w:tcBorders>
            <w:vAlign w:val="center"/>
          </w:tcPr>
          <w:p>
            <w:pPr>
              <w:pStyle w:val="31"/>
              <w:spacing w:line="240" w:lineRule="exact"/>
              <w:jc w:val="center"/>
              <w:rPr>
                <w:b/>
                <w:sz w:val="22"/>
              </w:rPr>
            </w:pPr>
            <w:r>
              <w:rPr>
                <w:rFonts w:hint="eastAsia"/>
                <w:b/>
                <w:sz w:val="22"/>
              </w:rPr>
              <w:t>小计</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spacing w:val="-11"/>
                <w:sz w:val="22"/>
              </w:rPr>
            </w:pPr>
            <w:r>
              <w:rPr>
                <w:rFonts w:hint="eastAsia"/>
                <w:b/>
                <w:spacing w:val="-11"/>
                <w:sz w:val="22"/>
              </w:rPr>
              <w:t>升级</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spacing w:val="-11"/>
                <w:sz w:val="22"/>
              </w:rPr>
            </w:pPr>
            <w:r>
              <w:rPr>
                <w:rFonts w:hint="eastAsia"/>
                <w:b/>
                <w:spacing w:val="-11"/>
                <w:sz w:val="22"/>
              </w:rPr>
              <w:t>新建</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spacing w:val="-11"/>
                <w:sz w:val="22"/>
              </w:rPr>
            </w:pPr>
            <w:r>
              <w:rPr>
                <w:rFonts w:hint="eastAsia"/>
                <w:b/>
                <w:spacing w:val="-11"/>
                <w:sz w:val="22"/>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bCs/>
                <w:sz w:val="22"/>
              </w:rPr>
            </w:pPr>
            <w:r>
              <w:rPr>
                <w:rFonts w:hint="eastAsia"/>
                <w:b/>
                <w:bCs/>
                <w:sz w:val="22"/>
              </w:rPr>
              <w:t>灵山县</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13</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rFonts w:hint="eastAsia"/>
                <w:b/>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6</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2</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4</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bCs/>
                <w:sz w:val="22"/>
              </w:rPr>
            </w:pPr>
            <w:r>
              <w:rPr>
                <w:rFonts w:hint="eastAsia"/>
                <w:b/>
                <w:bCs/>
                <w:sz w:val="22"/>
              </w:rPr>
              <w:t>浦北县</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15</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rFonts w:hint="eastAsia"/>
                <w:b/>
              </w:rPr>
              <w:t>1</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7</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3</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4</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bCs/>
                <w:sz w:val="22"/>
              </w:rPr>
            </w:pPr>
            <w:r>
              <w:rPr>
                <w:rFonts w:hint="eastAsia"/>
                <w:b/>
                <w:bCs/>
                <w:sz w:val="22"/>
              </w:rPr>
              <w:t>钦南区</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10</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rFonts w:hint="eastAsia"/>
                <w:b/>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5</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rFonts w:hint="eastAsia"/>
              </w:rPr>
              <w:t>3</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b/>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bCs/>
                <w:sz w:val="22"/>
              </w:rPr>
            </w:pPr>
            <w:r>
              <w:rPr>
                <w:rFonts w:hint="eastAsia"/>
                <w:b/>
                <w:bCs/>
                <w:sz w:val="22"/>
              </w:rPr>
              <w:t>钦北区</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11</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rFonts w:hint="eastAsia"/>
                <w:b/>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6</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4</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b/>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bCs/>
                <w:sz w:val="22"/>
              </w:rPr>
            </w:pPr>
            <w:r>
              <w:rPr>
                <w:rFonts w:hint="eastAsia"/>
                <w:b/>
                <w:bCs/>
                <w:sz w:val="22"/>
              </w:rPr>
              <w:t>合计</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49</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rFonts w:hint="eastAsia"/>
                <w:b/>
              </w:rPr>
              <w:t>1</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rPr>
                <w:b/>
              </w:rPr>
            </w:pPr>
            <w:r>
              <w:rPr>
                <w:b/>
              </w:rPr>
              <w:t>24</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rFonts w:hint="eastAsia"/>
              </w:rPr>
              <w:t>1</w:t>
            </w:r>
            <w:r>
              <w:t>2</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t>12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spacing w:line="240" w:lineRule="exact"/>
              <w:jc w:val="center"/>
            </w:pPr>
            <w:r>
              <w:rPr>
                <w:b/>
              </w:rPr>
              <w:t>24</w:t>
            </w:r>
          </w:p>
        </w:tc>
      </w:tr>
    </w:tbl>
    <w:p>
      <w:pPr>
        <w:spacing w:line="240" w:lineRule="auto"/>
        <w:ind w:firstLine="640"/>
      </w:pPr>
    </w:p>
    <w:p>
      <w:pPr>
        <w:ind w:firstLine="480"/>
        <w:rPr>
          <w:sz w:val="24"/>
        </w:rPr>
      </w:pPr>
    </w:p>
    <w:p>
      <w:pPr>
        <w:pStyle w:val="2"/>
        <w:ind w:firstLine="643"/>
        <w:sectPr>
          <w:footerReference r:id="rId9" w:type="default"/>
          <w:footerReference r:id="rId10" w:type="even"/>
          <w:pgSz w:w="11906" w:h="16838"/>
          <w:pgMar w:top="1701" w:right="1418" w:bottom="1418" w:left="1474" w:header="851" w:footer="992" w:gutter="0"/>
          <w:pgNumType w:fmt="numberInDash" w:start="1"/>
          <w:cols w:space="0" w:num="1"/>
          <w:docGrid w:type="lines" w:linePitch="584" w:charSpace="-849"/>
        </w:sectPr>
      </w:pPr>
    </w:p>
    <w:p>
      <w:pPr>
        <w:pStyle w:val="3"/>
      </w:pPr>
      <w:bookmarkStart w:id="12" w:name="_Toc119667487"/>
      <w:r>
        <w:rPr>
          <w:rFonts w:hint="eastAsia"/>
        </w:rPr>
        <w:t>第四章 总体布局</w:t>
      </w:r>
      <w:bookmarkEnd w:id="12"/>
    </w:p>
    <w:p>
      <w:pPr>
        <w:ind w:firstLine="640"/>
      </w:pPr>
    </w:p>
    <w:p>
      <w:pPr>
        <w:spacing w:line="240" w:lineRule="auto"/>
        <w:ind w:firstLine="640"/>
      </w:pPr>
      <w:r>
        <w:rPr>
          <w:rFonts w:hint="eastAsia"/>
        </w:rPr>
        <w:t>重点发展精品种植示范区、特色水产示范区、生态畜牧示范区和休闲观光示范区等特色优势产业示范区，补全示范区发展短板，建设一批特色种养示范区，将钦州市建设成为极具山海特色的现代农业示范区，将统筹钦州山海资源优势，让山对接海的产业，海溢向山的产业，打造“海味山珍·长寿钦州”农产品形象，形成“两带三区多点”的示范区空间布局。</w:t>
      </w:r>
    </w:p>
    <w:p>
      <w:pPr>
        <w:pStyle w:val="4"/>
        <w:spacing w:before="292" w:beforeLines="50" w:after="292" w:afterLines="50" w:line="240" w:lineRule="auto"/>
      </w:pPr>
      <w:bookmarkStart w:id="13" w:name="_Toc119667488"/>
      <w:r>
        <w:rPr>
          <w:rFonts w:hint="eastAsia"/>
        </w:rPr>
        <w:t>第一节 空间布局</w:t>
      </w:r>
      <w:bookmarkEnd w:id="13"/>
    </w:p>
    <w:p>
      <w:pPr>
        <w:spacing w:line="240" w:lineRule="auto"/>
        <w:ind w:firstLine="640"/>
      </w:pPr>
      <w:r>
        <w:rPr>
          <w:rFonts w:hint="eastAsia"/>
        </w:rPr>
        <w:t>坚持点线面相结合的发展原则，立足钦州市资源禀赋、地理区位优势，打造“两带三区多点”的示范区空间布局，形成重点突出、特色鲜明、优势互补、错位发展的钦州市现代特色农业示范区新框架,促进区域全面发展，实现钦州市示范区总量做大、品质做优、效益做高、品牌做响、增收做实的总体目标，推动钦州市农业高质量发展。</w:t>
      </w:r>
    </w:p>
    <w:p>
      <w:pPr>
        <w:spacing w:line="240" w:lineRule="auto"/>
        <w:ind w:firstLine="643"/>
        <w:rPr>
          <w:bCs/>
          <w:szCs w:val="32"/>
        </w:rPr>
      </w:pPr>
      <w:r>
        <w:rPr>
          <w:rFonts w:hint="eastAsia"/>
          <w:b/>
        </w:rPr>
        <w:t>（一）运河沿线发展带。</w:t>
      </w:r>
      <w:r>
        <w:rPr>
          <w:rFonts w:hint="eastAsia"/>
        </w:rPr>
        <w:t>依托未来平陆运河通江达海的水运通道，提前布局以平陆运河为</w:t>
      </w:r>
      <w:r>
        <w:rPr>
          <w:rFonts w:hint="eastAsia"/>
          <w:bCs/>
          <w:szCs w:val="32"/>
        </w:rPr>
        <w:t>交通主干线的发展带</w:t>
      </w:r>
      <w:r>
        <w:rPr>
          <w:rFonts w:hint="eastAsia"/>
        </w:rPr>
        <w:t>。以建设具有山海特色的示范区集群为目标，以运河为纽带，</w:t>
      </w:r>
      <w:r>
        <w:t>突出山的高度，形成海的思维，</w:t>
      </w:r>
      <w:r>
        <w:rPr>
          <w:rFonts w:hint="eastAsia"/>
        </w:rPr>
        <w:t>重点打造精品果蔬、优质中草药示范区、优势水稻等示范区，逐步形成“有龙头、有基地、有品牌、有市场”的现代特色农业示范区发展带。</w:t>
      </w:r>
    </w:p>
    <w:p>
      <w:pPr>
        <w:spacing w:line="240" w:lineRule="auto"/>
        <w:ind w:firstLine="640"/>
      </w:pPr>
    </w:p>
    <w:p>
      <w:pPr>
        <w:spacing w:line="240" w:lineRule="auto"/>
        <w:ind w:firstLine="643"/>
        <w:rPr>
          <w:bCs/>
          <w:szCs w:val="32"/>
        </w:rPr>
      </w:pPr>
      <w:r>
        <w:rPr>
          <w:rFonts w:hint="eastAsia"/>
          <w:b/>
        </w:rPr>
        <w:t>（二）陆路沿线联动发展带。</w:t>
      </w:r>
      <w:r>
        <w:rPr>
          <w:bCs/>
          <w:szCs w:val="32"/>
        </w:rPr>
        <w:t>依托</w:t>
      </w:r>
      <w:r>
        <w:rPr>
          <w:rFonts w:hint="eastAsia"/>
          <w:bCs/>
          <w:szCs w:val="32"/>
        </w:rPr>
        <w:t>钦灵公路、大浦高速公路</w:t>
      </w:r>
      <w:r>
        <w:rPr>
          <w:bCs/>
          <w:szCs w:val="32"/>
        </w:rPr>
        <w:t>等重要交通干线</w:t>
      </w:r>
      <w:r>
        <w:rPr>
          <w:rFonts w:hint="eastAsia"/>
          <w:bCs/>
          <w:szCs w:val="32"/>
        </w:rPr>
        <w:t>，结合沿途各县域现有的农业资源，通过“</w:t>
      </w:r>
      <w:r>
        <w:rPr>
          <w:bCs/>
          <w:szCs w:val="32"/>
        </w:rPr>
        <w:t>以点带线，以线带面</w:t>
      </w:r>
      <w:r>
        <w:rPr>
          <w:rFonts w:hint="eastAsia"/>
          <w:bCs/>
          <w:szCs w:val="32"/>
        </w:rPr>
        <w:t>”</w:t>
      </w:r>
      <w:r>
        <w:rPr>
          <w:bCs/>
          <w:szCs w:val="32"/>
        </w:rPr>
        <w:t>的方式打造农业示范区，形成</w:t>
      </w:r>
      <w:r>
        <w:rPr>
          <w:rFonts w:hint="eastAsia"/>
          <w:bCs/>
          <w:szCs w:val="32"/>
        </w:rPr>
        <w:t>钦州</w:t>
      </w:r>
      <w:r>
        <w:rPr>
          <w:bCs/>
          <w:szCs w:val="32"/>
        </w:rPr>
        <w:t>现代特色农业示范区</w:t>
      </w:r>
      <w:r>
        <w:rPr>
          <w:rFonts w:hint="eastAsia"/>
          <w:bCs/>
          <w:szCs w:val="32"/>
        </w:rPr>
        <w:t>东西</w:t>
      </w:r>
      <w:r>
        <w:rPr>
          <w:bCs/>
          <w:szCs w:val="32"/>
        </w:rPr>
        <w:t>联动互补发展新格局。</w:t>
      </w:r>
    </w:p>
    <w:p>
      <w:pPr>
        <w:spacing w:line="240" w:lineRule="auto"/>
        <w:ind w:firstLine="643"/>
      </w:pPr>
      <w:r>
        <w:rPr>
          <w:rFonts w:hint="eastAsia"/>
          <w:b/>
        </w:rPr>
        <w:t>（三）北部山地特色农业区。</w:t>
      </w:r>
      <w:r>
        <w:rPr>
          <w:rFonts w:hint="eastAsia"/>
        </w:rPr>
        <w:t>该区域涵盖灵山、浦北、钦北两县一区的多个乡镇，多为山地丘陵。</w:t>
      </w:r>
      <w:r>
        <w:rPr>
          <w:bCs/>
          <w:szCs w:val="32"/>
        </w:rPr>
        <w:t>充分利用地形</w:t>
      </w:r>
      <w:r>
        <w:rPr>
          <w:rFonts w:hint="eastAsia"/>
          <w:bCs/>
          <w:szCs w:val="32"/>
        </w:rPr>
        <w:t>、</w:t>
      </w:r>
      <w:r>
        <w:rPr>
          <w:bCs/>
          <w:szCs w:val="32"/>
        </w:rPr>
        <w:t>气候</w:t>
      </w:r>
      <w:r>
        <w:rPr>
          <w:rFonts w:hint="eastAsia"/>
          <w:bCs/>
          <w:szCs w:val="32"/>
        </w:rPr>
        <w:t>、生态</w:t>
      </w:r>
      <w:r>
        <w:rPr>
          <w:bCs/>
          <w:szCs w:val="32"/>
        </w:rPr>
        <w:t>优势，大力发展特色水果、精品茶叶、</w:t>
      </w:r>
      <w:r>
        <w:rPr>
          <w:rFonts w:hint="eastAsia"/>
          <w:bCs/>
          <w:szCs w:val="32"/>
        </w:rPr>
        <w:t>休闲农业、生态养殖、林业循环经济、</w:t>
      </w:r>
      <w:r>
        <w:rPr>
          <w:bCs/>
          <w:szCs w:val="32"/>
        </w:rPr>
        <w:t>优质中药材</w:t>
      </w:r>
      <w:r>
        <w:rPr>
          <w:rFonts w:hint="eastAsia"/>
          <w:bCs/>
          <w:szCs w:val="32"/>
        </w:rPr>
        <w:t>等</w:t>
      </w:r>
      <w:r>
        <w:rPr>
          <w:bCs/>
          <w:szCs w:val="32"/>
        </w:rPr>
        <w:t>示范区，打造北部山地特色农业区。</w:t>
      </w:r>
      <w:r>
        <w:rPr>
          <w:rFonts w:hint="eastAsia"/>
        </w:rPr>
        <w:t>聚焦特色化、个性化和多样化发展，突出两县一区独有的资源、品种等特色，打造不同县区不同的特色产业，推动钦州市现代农业示范区向多元化发展。</w:t>
      </w:r>
    </w:p>
    <w:p>
      <w:pPr>
        <w:spacing w:line="240" w:lineRule="auto"/>
        <w:ind w:firstLine="643"/>
      </w:pPr>
      <w:r>
        <w:rPr>
          <w:rFonts w:hint="eastAsia"/>
          <w:b/>
        </w:rPr>
        <w:t>（四）向海经济特色农业区。</w:t>
      </w:r>
      <w:r>
        <w:rPr>
          <w:rFonts w:hint="eastAsia"/>
        </w:rPr>
        <w:t>依托临海的区位优势，大力发展向海经济。通过发掘海洋资源，促进海洋渔业集约化发展，重点建设三娘湾等国家级海洋牧场、现代海洋渔业养殖示范基地，规划建设海上粮仓、海上生态产业园，形成向海经济特色农业区，打造钦州市生态型</w:t>
      </w:r>
      <w:r>
        <w:rPr>
          <w:rFonts w:hint="eastAsia" w:ascii="Times New Roman" w:eastAsia="宋体"/>
        </w:rPr>
        <w:t>“</w:t>
      </w:r>
      <w:r>
        <w:rPr>
          <w:rFonts w:hint="eastAsia"/>
        </w:rPr>
        <w:t>蓝色粮仓</w:t>
      </w:r>
      <w:r>
        <w:rPr>
          <w:rFonts w:hint="eastAsia" w:ascii="Times New Roman" w:eastAsia="宋体"/>
        </w:rPr>
        <w:t>”</w:t>
      </w:r>
      <w:r>
        <w:rPr>
          <w:rFonts w:hint="eastAsia"/>
        </w:rPr>
        <w:t>，推动钦州市现代农业示范区向海洋纵深发展。</w:t>
      </w:r>
    </w:p>
    <w:p>
      <w:pPr>
        <w:spacing w:line="240" w:lineRule="auto"/>
        <w:ind w:firstLine="643"/>
      </w:pPr>
      <w:r>
        <w:rPr>
          <w:rFonts w:hint="eastAsia"/>
          <w:b/>
        </w:rPr>
        <w:t>（五）城乡融合发展试验区。</w:t>
      </w:r>
      <w:r>
        <w:rPr>
          <w:rFonts w:hint="eastAsia"/>
        </w:rPr>
        <w:t>城乡融合发展试验区横跨两县，包括灵山县的武利镇、伯劳镇和浦北县的北通镇、白石水镇。试验区作为钦州市县域改革发展的先行示范区，要充分发挥其政策试点优先布局、要素资源倾斜配置的优势，全面统筹整合试验区的农业资源，以荔枝、黑黄皮、番石榴、富硒稻、苗木、中药材、玉兰花、茶叶、八角、奶水牛、蜂蜜、肉鸡等试验区特色农业产业为重点，高标准建设一批区域性的现代特色农业示范区。</w:t>
      </w:r>
    </w:p>
    <w:p>
      <w:pPr>
        <w:spacing w:line="240" w:lineRule="auto"/>
        <w:ind w:firstLine="640"/>
      </w:pPr>
      <w:r>
        <w:drawing>
          <wp:anchor distT="0" distB="0" distL="114300" distR="114300" simplePos="0" relativeHeight="251655168" behindDoc="0" locked="0" layoutInCell="1" allowOverlap="1">
            <wp:simplePos x="0" y="0"/>
            <wp:positionH relativeFrom="margin">
              <wp:posOffset>59690</wp:posOffset>
            </wp:positionH>
            <wp:positionV relativeFrom="margin">
              <wp:posOffset>3102610</wp:posOffset>
            </wp:positionV>
            <wp:extent cx="5614035" cy="3970020"/>
            <wp:effectExtent l="0" t="0" r="5715"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4035" cy="3970020"/>
                    </a:xfrm>
                    <a:prstGeom prst="rect">
                      <a:avLst/>
                    </a:prstGeom>
                  </pic:spPr>
                </pic:pic>
              </a:graphicData>
            </a:graphic>
          </wp:anchor>
        </w:drawing>
      </w:r>
      <w:r>
        <w:rPr>
          <w:rFonts w:hint="eastAsia"/>
          <w:b/>
        </w:rPr>
        <w:t>（六）多点。</w:t>
      </w:r>
      <w:r>
        <w:rPr>
          <w:rFonts w:hint="eastAsia"/>
        </w:rPr>
        <w:t>以</w:t>
      </w:r>
      <w:r>
        <w:rPr>
          <w:rFonts w:hint="eastAsia" w:ascii="宋体" w:hAnsi="宋体"/>
          <w:szCs w:val="28"/>
        </w:rPr>
        <w:t>灵山百年荔枝示范区</w:t>
      </w:r>
      <w:r>
        <w:rPr>
          <w:rFonts w:hint="eastAsia"/>
        </w:rPr>
        <w:t>、浦北县五皇山石祖林中茶示范区和</w:t>
      </w:r>
      <w:r>
        <w:rPr>
          <w:rFonts w:ascii="Arial" w:hAnsi="Arial" w:cs="Arial"/>
          <w:shd w:val="clear" w:color="auto" w:fill="FFFFFF"/>
        </w:rPr>
        <w:t>钦南区龙门蚝湾大蚝产业示范区</w:t>
      </w:r>
      <w:r>
        <w:rPr>
          <w:rFonts w:hint="eastAsia"/>
        </w:rPr>
        <w:t>、钦北区娥眉湾现代休闲农业示范区等自治区级示范区为示范带动，以 “标准化、规模化、专业化”为发展方向，重点建设海洋牧场、标准化种植示范基地、休闲观光农业基地、育种育苗基地、标准化养殖基地。拓展农耕体验、民族风情体验、乡村旅游等功能，增强示范区一二三产业融合示范效应，带动当地农民获得更高的经济效益。</w:t>
      </w:r>
    </w:p>
    <w:p>
      <w:pPr>
        <w:widowControl/>
        <w:spacing w:line="240" w:lineRule="auto"/>
        <w:ind w:firstLine="0" w:firstLineChars="0"/>
        <w:jc w:val="left"/>
      </w:pPr>
      <w:r>
        <w:br w:type="page"/>
      </w:r>
    </w:p>
    <w:p>
      <w:pPr>
        <w:pStyle w:val="4"/>
        <w:spacing w:after="292" w:afterLines="50" w:line="240" w:lineRule="auto"/>
      </w:pPr>
      <w:bookmarkStart w:id="14" w:name="_Toc119667489"/>
      <w:r>
        <w:rPr>
          <w:rFonts w:hint="eastAsia"/>
        </w:rPr>
        <w:t>第二节 产业布局</w:t>
      </w:r>
      <w:bookmarkEnd w:id="14"/>
    </w:p>
    <w:p>
      <w:pPr>
        <w:spacing w:line="240" w:lineRule="auto"/>
        <w:ind w:firstLine="640"/>
      </w:pPr>
      <w:r>
        <w:rPr>
          <w:rFonts w:hint="eastAsia"/>
        </w:rPr>
        <w:t>以县、区行政区域为基本单元，立足当地实际和农业资源的优势，对种植业、畜禽业、水产业、林业、休闲农业五大类示范区进行科学规划和布局，打造各具县域特色的农业示范区。</w:t>
      </w:r>
    </w:p>
    <w:p>
      <w:pPr>
        <w:spacing w:line="240" w:lineRule="auto"/>
        <w:ind w:firstLine="640"/>
      </w:pPr>
      <w:r>
        <w:rPr>
          <w:rFonts w:hint="eastAsia"/>
        </w:rPr>
        <w:t>灵山县主要发展特色水果、生态畜禽、休闲农业、精品茶叶、优质中药材等产业，重点打造果蔬类的</w:t>
      </w:r>
      <w:r>
        <w:rPr>
          <w:lang w:bidi="en-US"/>
        </w:rPr>
        <w:t>荔枝、茶叶、</w:t>
      </w:r>
      <w:r>
        <w:rPr>
          <w:rFonts w:hint="eastAsia"/>
          <w:lang w:bidi="en-US"/>
        </w:rPr>
        <w:t>果苗、苗木、黄皮、番石榴</w:t>
      </w:r>
      <w:r>
        <w:rPr>
          <w:rFonts w:hint="eastAsia"/>
        </w:rPr>
        <w:t>示范区，畜禽类的奶水牛、香鸡、肉牛、生猪示范区，休闲农业类的森林生态、农业观光示范区，林业类的特色种养、用材林、花卉苗圃示范区。</w:t>
      </w:r>
    </w:p>
    <w:p>
      <w:pPr>
        <w:spacing w:line="240" w:lineRule="auto"/>
        <w:ind w:firstLine="640"/>
      </w:pPr>
      <w:r>
        <w:rPr>
          <w:rFonts w:hint="eastAsia"/>
        </w:rPr>
        <w:t>浦北县主要发展</w:t>
      </w:r>
      <w:r>
        <w:t>特色水果示范区、精品茶叶示范区、</w:t>
      </w:r>
      <w:r>
        <w:rPr>
          <w:rFonts w:hint="eastAsia"/>
        </w:rPr>
        <w:t>休闲农业示范区、生态养殖示范区、林业循环经济示范区、</w:t>
      </w:r>
      <w:r>
        <w:t>优质中药材示范区，</w:t>
      </w:r>
      <w:r>
        <w:rPr>
          <w:rFonts w:hint="eastAsia"/>
        </w:rPr>
        <w:t>重点打造种植类的</w:t>
      </w:r>
      <w:r>
        <w:rPr>
          <w:rFonts w:hint="eastAsia"/>
          <w:lang w:bidi="en-US"/>
        </w:rPr>
        <w:t>香蕉、荔枝、黄皮、百香果、柑橘、红椎菌、八角、富硒稻、茶叶（柑普茶）、四会柑（陈皮）、橄榄等示范区</w:t>
      </w:r>
      <w:r>
        <w:rPr>
          <w:rFonts w:hint="eastAsia"/>
        </w:rPr>
        <w:t>，休闲农业类的森林生态、农业观光示范区，林业类的特色种养、用材林示范区，畜禽类的肉鸡、肉牛、</w:t>
      </w:r>
      <w:r>
        <w:rPr>
          <w:rFonts w:hint="eastAsia"/>
          <w:lang w:bidi="en-US"/>
        </w:rPr>
        <w:t>黑猪</w:t>
      </w:r>
      <w:r>
        <w:rPr>
          <w:rFonts w:hint="eastAsia"/>
        </w:rPr>
        <w:t>示范区、水产类的官垌草鱼示范区</w:t>
      </w:r>
      <w:r>
        <w:rPr>
          <w:rFonts w:hint="eastAsia"/>
          <w:lang w:bidi="en-US"/>
        </w:rPr>
        <w:t>。</w:t>
      </w:r>
    </w:p>
    <w:p>
      <w:pPr>
        <w:spacing w:line="240" w:lineRule="auto"/>
        <w:ind w:firstLine="640"/>
      </w:pPr>
      <w:r>
        <w:rPr>
          <w:rFonts w:hint="eastAsia"/>
        </w:rPr>
        <w:t>钦南区主要发展生态养殖示范区、休闲农业示范、中草药示范区。重点打造水产类的大蚝、对虾、青蟹</w:t>
      </w:r>
      <w:r>
        <w:rPr>
          <w:rFonts w:hint="eastAsia" w:ascii="仿宋_GB2312" w:hAnsi="宋体" w:eastAsia="仿宋_GB2312" w:cs="Arial"/>
          <w:kern w:val="0"/>
          <w:szCs w:val="32"/>
        </w:rPr>
        <w:t>、</w:t>
      </w:r>
      <w:r>
        <w:rPr>
          <w:rFonts w:hint="eastAsia"/>
          <w:lang w:bidi="en-US"/>
        </w:rPr>
        <w:t>龟鳖、金鲳鱼</w:t>
      </w:r>
      <w:r>
        <w:rPr>
          <w:rFonts w:hint="eastAsia"/>
        </w:rPr>
        <w:t>示范区，休闲农业类的农业观光、休闲渔业示范区，种植类的</w:t>
      </w:r>
      <w:r>
        <w:rPr>
          <w:rFonts w:hint="eastAsia"/>
          <w:lang w:bidi="en-US"/>
        </w:rPr>
        <w:t>糖料蔗、海红米、辣椒、紫米、荔枝、百香果、火龙果、黄瓜皮、菠萝蜜、中药材（五指毛桃）示范区，畜禽类的生猪、蛋鸡等示范区。</w:t>
      </w:r>
    </w:p>
    <w:p>
      <w:pPr>
        <w:spacing w:line="240" w:lineRule="auto"/>
        <w:ind w:firstLine="640"/>
        <w:rPr>
          <w:lang w:bidi="en-US"/>
        </w:rPr>
      </w:pPr>
      <w:r>
        <w:rPr>
          <w:rFonts w:hint="eastAsia"/>
        </w:rPr>
        <w:t>钦北区主要发展</w:t>
      </w:r>
      <w:r>
        <w:t>特色水果示范区、</w:t>
      </w:r>
      <w:r>
        <w:rPr>
          <w:rFonts w:hint="eastAsia"/>
        </w:rPr>
        <w:t>休闲农业示范区、生态养殖示范区、林业循环经济示范区、</w:t>
      </w:r>
      <w:r>
        <w:t>优质中药材示范区，</w:t>
      </w:r>
      <w:r>
        <w:rPr>
          <w:rFonts w:hint="eastAsia"/>
        </w:rPr>
        <w:t>重点打造种植类的</w:t>
      </w:r>
      <w:r>
        <w:rPr>
          <w:rFonts w:hint="eastAsia"/>
          <w:lang w:bidi="en-US"/>
        </w:rPr>
        <w:t>糖料蔗、荔枝、火龙果、杨梅、葡萄、富硒稻、果苗、柑橘示范区，畜禽类的果园鸡、肉牛、肉猪和水产类的黄鳝、淡水鱼等示范区。</w:t>
      </w:r>
    </w:p>
    <w:p>
      <w:pPr>
        <w:widowControl/>
        <w:spacing w:line="360" w:lineRule="auto"/>
        <w:ind w:firstLine="0" w:firstLineChars="0"/>
        <w:jc w:val="center"/>
        <w:rPr>
          <w:b/>
          <w:sz w:val="28"/>
        </w:rPr>
      </w:pPr>
      <w:r>
        <w:rPr>
          <w:rFonts w:hint="eastAsia"/>
          <w:b/>
          <w:sz w:val="28"/>
        </w:rPr>
        <w:t>表4-</w:t>
      </w:r>
      <w:r>
        <w:rPr>
          <w:b/>
          <w:sz w:val="28"/>
        </w:rPr>
        <w:t xml:space="preserve">1 </w:t>
      </w:r>
      <w:r>
        <w:rPr>
          <w:rFonts w:hint="eastAsia"/>
          <w:b/>
          <w:sz w:val="28"/>
        </w:rPr>
        <w:t>钦州市现代特色农业区重点发展产业表</w:t>
      </w:r>
    </w:p>
    <w:tbl>
      <w:tblPr>
        <w:tblStyle w:val="25"/>
        <w:tblW w:w="91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7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178" w:type="dxa"/>
            <w:gridSpan w:val="2"/>
            <w:vAlign w:val="center"/>
          </w:tcPr>
          <w:p>
            <w:pPr>
              <w:adjustRightInd w:val="0"/>
              <w:snapToGrid w:val="0"/>
              <w:spacing w:line="240" w:lineRule="exact"/>
              <w:ind w:firstLine="0" w:firstLineChars="0"/>
              <w:jc w:val="center"/>
              <w:rPr>
                <w:rFonts w:ascii="仿宋_GB2312" w:hAnsi="仿宋_GB2312" w:cs="仿宋_GB2312"/>
                <w:b/>
                <w:bCs/>
                <w:sz w:val="22"/>
                <w:szCs w:val="22"/>
              </w:rPr>
            </w:pPr>
            <w:r>
              <w:rPr>
                <w:rFonts w:hint="eastAsia" w:ascii="仿宋_GB2312" w:hAnsi="仿宋_GB2312" w:cs="仿宋_GB2312"/>
                <w:b/>
                <w:bCs/>
                <w:sz w:val="24"/>
                <w:szCs w:val="22"/>
              </w:rPr>
              <w:t>钦州市现代特色农业区重点发展产业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48" w:type="dxa"/>
            <w:vAlign w:val="center"/>
          </w:tcPr>
          <w:p>
            <w:pPr>
              <w:pStyle w:val="31"/>
              <w:jc w:val="center"/>
              <w:rPr>
                <w:b/>
              </w:rPr>
            </w:pPr>
            <w:r>
              <w:rPr>
                <w:rFonts w:hint="eastAsia"/>
                <w:b/>
              </w:rPr>
              <w:t>县（区）</w:t>
            </w:r>
          </w:p>
        </w:tc>
        <w:tc>
          <w:tcPr>
            <w:tcW w:w="7930" w:type="dxa"/>
            <w:vAlign w:val="center"/>
          </w:tcPr>
          <w:p>
            <w:pPr>
              <w:pStyle w:val="31"/>
              <w:spacing w:line="240" w:lineRule="exact"/>
              <w:jc w:val="center"/>
              <w:rPr>
                <w:b/>
                <w:sz w:val="28"/>
              </w:rPr>
            </w:pPr>
            <w:r>
              <w:rPr>
                <w:rFonts w:hint="eastAsia"/>
                <w:b/>
              </w:rPr>
              <w:t>重点发展产业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42" w:hRule="atLeast"/>
        </w:trPr>
        <w:tc>
          <w:tcPr>
            <w:tcW w:w="1248" w:type="dxa"/>
            <w:vAlign w:val="center"/>
          </w:tcPr>
          <w:p>
            <w:pPr>
              <w:pStyle w:val="31"/>
              <w:jc w:val="center"/>
              <w:rPr>
                <w:b/>
              </w:rPr>
            </w:pPr>
            <w:r>
              <w:rPr>
                <w:rFonts w:hint="eastAsia"/>
                <w:b/>
              </w:rPr>
              <w:t>灵山县</w:t>
            </w:r>
          </w:p>
        </w:tc>
        <w:tc>
          <w:tcPr>
            <w:tcW w:w="7930" w:type="dxa"/>
            <w:vAlign w:val="center"/>
          </w:tcPr>
          <w:p>
            <w:pPr>
              <w:pStyle w:val="31"/>
              <w:spacing w:line="240" w:lineRule="exact"/>
            </w:pPr>
            <w:r>
              <w:rPr>
                <w:rFonts w:hint="eastAsia"/>
              </w:rPr>
              <w:t>种植业类：</w:t>
            </w:r>
            <w:r>
              <w:rPr>
                <w:lang w:bidi="en-US"/>
              </w:rPr>
              <w:t>荔枝、茶叶、</w:t>
            </w:r>
            <w:r>
              <w:rPr>
                <w:rFonts w:hint="eastAsia"/>
                <w:lang w:bidi="en-US"/>
              </w:rPr>
              <w:t>果苗、苗木、黄皮、番石榴</w:t>
            </w:r>
            <w:r>
              <w:rPr>
                <w:rFonts w:hint="eastAsia"/>
              </w:rPr>
              <w:t>示范区</w:t>
            </w:r>
          </w:p>
          <w:p>
            <w:pPr>
              <w:pStyle w:val="31"/>
              <w:spacing w:line="240" w:lineRule="exact"/>
            </w:pPr>
            <w:r>
              <w:rPr>
                <w:rFonts w:hint="eastAsia"/>
              </w:rPr>
              <w:t>畜禽类：奶水牛、香鸡、肉牛、生猪示范区</w:t>
            </w:r>
          </w:p>
          <w:p>
            <w:pPr>
              <w:pStyle w:val="31"/>
              <w:spacing w:line="240" w:lineRule="exact"/>
            </w:pPr>
            <w:r>
              <w:rPr>
                <w:rFonts w:hint="eastAsia"/>
              </w:rPr>
              <w:t>休闲农业类：森林生态、农业观光示范区</w:t>
            </w:r>
          </w:p>
          <w:p>
            <w:pPr>
              <w:pStyle w:val="31"/>
              <w:spacing w:line="240" w:lineRule="exact"/>
            </w:pPr>
            <w:r>
              <w:rPr>
                <w:rFonts w:hint="eastAsia"/>
              </w:rPr>
              <w:t>林业类：特色种养、用材林、花卉苗圃示范区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1" w:hRule="atLeast"/>
        </w:trPr>
        <w:tc>
          <w:tcPr>
            <w:tcW w:w="1248" w:type="dxa"/>
            <w:vAlign w:val="center"/>
          </w:tcPr>
          <w:p>
            <w:pPr>
              <w:pStyle w:val="31"/>
              <w:jc w:val="center"/>
              <w:rPr>
                <w:b/>
              </w:rPr>
            </w:pPr>
            <w:r>
              <w:rPr>
                <w:rFonts w:hint="eastAsia"/>
                <w:b/>
              </w:rPr>
              <w:t>浦北县</w:t>
            </w:r>
          </w:p>
        </w:tc>
        <w:tc>
          <w:tcPr>
            <w:tcW w:w="7930" w:type="dxa"/>
            <w:vAlign w:val="center"/>
          </w:tcPr>
          <w:p>
            <w:pPr>
              <w:pStyle w:val="31"/>
              <w:spacing w:line="240" w:lineRule="exact"/>
            </w:pPr>
            <w:r>
              <w:rPr>
                <w:rFonts w:hint="eastAsia"/>
              </w:rPr>
              <w:t>种植业类：</w:t>
            </w:r>
            <w:r>
              <w:rPr>
                <w:rFonts w:hint="eastAsia"/>
                <w:lang w:bidi="en-US"/>
              </w:rPr>
              <w:t>香蕉、荔枝、黄皮、百香果、柑橘、红椎菌、八角、蜂蜜、富硒稻、茶叶（柑普茶）、四会柑（陈皮）、橄榄等示范区</w:t>
            </w:r>
          </w:p>
          <w:p>
            <w:pPr>
              <w:pStyle w:val="31"/>
              <w:spacing w:line="240" w:lineRule="exact"/>
            </w:pPr>
            <w:r>
              <w:rPr>
                <w:rFonts w:hint="eastAsia"/>
              </w:rPr>
              <w:t>休闲农业类：森林生态、农业观光示范区</w:t>
            </w:r>
          </w:p>
          <w:p>
            <w:pPr>
              <w:pStyle w:val="31"/>
              <w:spacing w:line="240" w:lineRule="exact"/>
            </w:pPr>
            <w:r>
              <w:rPr>
                <w:rFonts w:hint="eastAsia"/>
              </w:rPr>
              <w:t>林业类：特色种养、用材林示范区</w:t>
            </w:r>
          </w:p>
          <w:p>
            <w:pPr>
              <w:pStyle w:val="31"/>
              <w:spacing w:line="240" w:lineRule="exact"/>
            </w:pPr>
            <w:r>
              <w:rPr>
                <w:rFonts w:hint="eastAsia"/>
              </w:rPr>
              <w:t>畜禽类：肉鸡、肉牛、</w:t>
            </w:r>
            <w:r>
              <w:rPr>
                <w:rFonts w:hint="eastAsia"/>
                <w:lang w:bidi="en-US"/>
              </w:rPr>
              <w:t>黑猪</w:t>
            </w:r>
            <w:r>
              <w:rPr>
                <w:rFonts w:hint="eastAsia"/>
              </w:rPr>
              <w:t>示范区</w:t>
            </w:r>
          </w:p>
          <w:p>
            <w:pPr>
              <w:pStyle w:val="31"/>
              <w:spacing w:line="240" w:lineRule="exact"/>
            </w:pPr>
            <w:r>
              <w:rPr>
                <w:rFonts w:hint="eastAsia"/>
              </w:rPr>
              <w:t>水产类：官垌草鱼示范区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9" w:hRule="atLeast"/>
        </w:trPr>
        <w:tc>
          <w:tcPr>
            <w:tcW w:w="1248" w:type="dxa"/>
            <w:vAlign w:val="center"/>
          </w:tcPr>
          <w:p>
            <w:pPr>
              <w:pStyle w:val="31"/>
              <w:jc w:val="center"/>
              <w:rPr>
                <w:b/>
              </w:rPr>
            </w:pPr>
            <w:r>
              <w:rPr>
                <w:b/>
              </w:rPr>
              <w:t>钦南区</w:t>
            </w:r>
          </w:p>
        </w:tc>
        <w:tc>
          <w:tcPr>
            <w:tcW w:w="7930" w:type="dxa"/>
            <w:vAlign w:val="center"/>
          </w:tcPr>
          <w:p>
            <w:pPr>
              <w:pStyle w:val="31"/>
              <w:spacing w:line="240" w:lineRule="exact"/>
            </w:pPr>
            <w:r>
              <w:rPr>
                <w:rFonts w:hint="eastAsia"/>
              </w:rPr>
              <w:t>水产类：大蚝、对虾、青蟹、龟鳖、金鲳鱼示范区</w:t>
            </w:r>
          </w:p>
          <w:p>
            <w:pPr>
              <w:pStyle w:val="31"/>
              <w:spacing w:line="240" w:lineRule="exact"/>
            </w:pPr>
            <w:r>
              <w:rPr>
                <w:rFonts w:hint="eastAsia"/>
              </w:rPr>
              <w:t>休闲农业类：农业观光、休闲渔业示范区</w:t>
            </w:r>
          </w:p>
          <w:p>
            <w:pPr>
              <w:pStyle w:val="31"/>
              <w:spacing w:line="240" w:lineRule="exact"/>
            </w:pPr>
            <w:r>
              <w:rPr>
                <w:rFonts w:hint="eastAsia"/>
              </w:rPr>
              <w:t>种植类：</w:t>
            </w:r>
            <w:r>
              <w:rPr>
                <w:rFonts w:hint="eastAsia"/>
                <w:lang w:bidi="en-US"/>
              </w:rPr>
              <w:t>糖料蔗、海红米、辣椒、紫米、荔枝、百香果、火龙果、黄瓜皮、菠萝蜜、中药材（五指毛桃）</w:t>
            </w:r>
            <w:r>
              <w:rPr>
                <w:rFonts w:hint="eastAsia"/>
              </w:rPr>
              <w:t>示范区</w:t>
            </w:r>
          </w:p>
          <w:p>
            <w:pPr>
              <w:pStyle w:val="31"/>
              <w:spacing w:line="240" w:lineRule="exact"/>
              <w:rPr>
                <w:lang w:bidi="en-US"/>
              </w:rPr>
            </w:pPr>
            <w:r>
              <w:rPr>
                <w:rFonts w:hint="eastAsia"/>
              </w:rPr>
              <w:t>畜禽类：</w:t>
            </w:r>
            <w:r>
              <w:rPr>
                <w:rFonts w:hint="eastAsia"/>
                <w:lang w:bidi="en-US"/>
              </w:rPr>
              <w:t>生猪、蛋鸡等示范区。</w:t>
            </w:r>
          </w:p>
          <w:p>
            <w:pPr>
              <w:pStyle w:val="31"/>
              <w:spacing w:line="240" w:lineRule="exact"/>
            </w:pPr>
            <w:r>
              <w:rPr>
                <w:rFonts w:hint="eastAsia"/>
              </w:rPr>
              <w:t>林业类：森林生态文化旅游示范区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8" w:hRule="atLeast"/>
        </w:trPr>
        <w:tc>
          <w:tcPr>
            <w:tcW w:w="1248" w:type="dxa"/>
            <w:vAlign w:val="center"/>
          </w:tcPr>
          <w:p>
            <w:pPr>
              <w:pStyle w:val="31"/>
              <w:jc w:val="center"/>
              <w:rPr>
                <w:b/>
              </w:rPr>
            </w:pPr>
            <w:r>
              <w:rPr>
                <w:b/>
              </w:rPr>
              <w:t>钦北区</w:t>
            </w:r>
          </w:p>
        </w:tc>
        <w:tc>
          <w:tcPr>
            <w:tcW w:w="7930" w:type="dxa"/>
            <w:vAlign w:val="center"/>
          </w:tcPr>
          <w:p>
            <w:pPr>
              <w:pStyle w:val="31"/>
              <w:spacing w:line="240" w:lineRule="exact"/>
              <w:rPr>
                <w:lang w:bidi="en-US"/>
              </w:rPr>
            </w:pPr>
            <w:r>
              <w:rPr>
                <w:rFonts w:hint="eastAsia"/>
                <w:lang w:bidi="en-US"/>
              </w:rPr>
              <w:t>种植业类：糖料蔗、荔枝、火龙果、杨梅、葡萄、富硒稻、果苗、柑橘示范区</w:t>
            </w:r>
          </w:p>
          <w:p>
            <w:pPr>
              <w:pStyle w:val="31"/>
              <w:spacing w:line="240" w:lineRule="exact"/>
              <w:rPr>
                <w:lang w:bidi="en-US"/>
              </w:rPr>
            </w:pPr>
            <w:r>
              <w:rPr>
                <w:rFonts w:hint="eastAsia"/>
                <w:lang w:bidi="en-US"/>
              </w:rPr>
              <w:t>畜禽类：果园鸡、肉牛、肉猪示范区</w:t>
            </w:r>
          </w:p>
          <w:p>
            <w:pPr>
              <w:pStyle w:val="31"/>
              <w:spacing w:line="240" w:lineRule="exact"/>
              <w:rPr>
                <w:lang w:bidi="en-US"/>
              </w:rPr>
            </w:pPr>
            <w:r>
              <w:rPr>
                <w:rFonts w:hint="eastAsia"/>
                <w:lang w:bidi="en-US"/>
              </w:rPr>
              <w:t>水产类：黄鳝、淡水鱼等示范区</w:t>
            </w:r>
          </w:p>
          <w:p>
            <w:pPr>
              <w:pStyle w:val="31"/>
              <w:spacing w:line="240" w:lineRule="exact"/>
            </w:pPr>
            <w:r>
              <w:rPr>
                <w:rFonts w:hint="eastAsia"/>
              </w:rPr>
              <w:t>休闲农业类：森林生态、休闲渔业示范区</w:t>
            </w:r>
          </w:p>
          <w:p>
            <w:pPr>
              <w:pStyle w:val="31"/>
              <w:spacing w:line="240" w:lineRule="exact"/>
            </w:pPr>
            <w:r>
              <w:rPr>
                <w:rFonts w:hint="eastAsia"/>
                <w:lang w:bidi="en-US"/>
              </w:rPr>
              <w:t>林业类：</w:t>
            </w:r>
            <w:r>
              <w:rPr>
                <w:rFonts w:hint="eastAsia"/>
              </w:rPr>
              <w:t>特色种养、用材林示范区</w:t>
            </w:r>
          </w:p>
        </w:tc>
      </w:tr>
    </w:tbl>
    <w:p>
      <w:pPr>
        <w:widowControl/>
        <w:spacing w:line="240" w:lineRule="auto"/>
        <w:ind w:firstLine="0" w:firstLineChars="0"/>
        <w:jc w:val="left"/>
      </w:pPr>
      <w:r>
        <w:br w:type="page"/>
      </w:r>
    </w:p>
    <w:p>
      <w:pPr>
        <w:pStyle w:val="3"/>
        <w:spacing w:line="240" w:lineRule="auto"/>
      </w:pPr>
      <w:bookmarkStart w:id="15" w:name="_Toc119667490"/>
      <w:r>
        <w:rPr>
          <w:rFonts w:hint="eastAsia"/>
        </w:rPr>
        <w:t>第五章 重点任务</w:t>
      </w:r>
      <w:bookmarkEnd w:id="15"/>
    </w:p>
    <w:p>
      <w:pPr>
        <w:ind w:firstLine="640"/>
      </w:pPr>
    </w:p>
    <w:p>
      <w:pPr>
        <w:pStyle w:val="4"/>
        <w:spacing w:after="292" w:afterLines="50" w:line="240" w:lineRule="auto"/>
        <w:rPr>
          <w:rFonts w:ascii="仿宋" w:hAnsi="仿宋" w:eastAsia="仿宋"/>
        </w:rPr>
      </w:pPr>
      <w:bookmarkStart w:id="16" w:name="_Toc119667491"/>
      <w:r>
        <w:rPr>
          <w:rFonts w:hint="eastAsia" w:ascii="仿宋" w:hAnsi="仿宋" w:eastAsia="仿宋"/>
        </w:rPr>
        <w:t>第一节 统筹推进区域联动建设，形成示范区梯次发展格局</w:t>
      </w:r>
      <w:bookmarkEnd w:id="16"/>
    </w:p>
    <w:p>
      <w:pPr>
        <w:pStyle w:val="5"/>
        <w:spacing w:line="240" w:lineRule="auto"/>
        <w:ind w:firstLine="643"/>
        <w:rPr>
          <w:rFonts w:hAnsi="仿宋"/>
        </w:rPr>
      </w:pPr>
      <w:r>
        <w:rPr>
          <w:rFonts w:hint="eastAsia" w:hAnsi="仿宋"/>
        </w:rPr>
        <w:t>一、壮大示范区优势特色产业集群</w:t>
      </w:r>
    </w:p>
    <w:p>
      <w:pPr>
        <w:spacing w:line="240" w:lineRule="auto"/>
        <w:ind w:firstLine="640"/>
        <w:rPr>
          <w:rFonts w:hAnsi="仿宋"/>
        </w:rPr>
      </w:pPr>
      <w:r>
        <w:rPr>
          <w:rFonts w:hint="eastAsia" w:hAnsi="仿宋"/>
        </w:rPr>
        <w:t>立足各县区实际情况，统筹考虑自身农业资源禀赋、文化基因、产业基础及发展潜力等，按照既要强调“特色”、更要突出“优势”的原则，引导资源集中、发挥集聚效应、形成规模经济，加快推进示范区优势特色产业集群发展。</w:t>
      </w:r>
      <w:r>
        <w:rPr>
          <w:rFonts w:hAnsi="仿宋"/>
        </w:rPr>
        <w:t>深化农业供给侧结构性改革，</w:t>
      </w:r>
      <w:r>
        <w:rPr>
          <w:rFonts w:hint="eastAsia" w:hAnsi="仿宋"/>
        </w:rPr>
        <w:t>推动农业规模化、优质化、品牌化发展，</w:t>
      </w:r>
      <w:r>
        <w:rPr>
          <w:rFonts w:hAnsi="仿宋"/>
        </w:rPr>
        <w:t>打造一批产加销贯通、贸工农一体、</w:t>
      </w:r>
      <w:r>
        <w:rPr>
          <w:rFonts w:hint="eastAsia" w:hAnsi="仿宋"/>
        </w:rPr>
        <w:t>一二三产</w:t>
      </w:r>
      <w:r>
        <w:rPr>
          <w:rFonts w:hAnsi="仿宋"/>
        </w:rPr>
        <w:t>融合发展的</w:t>
      </w:r>
      <w:r>
        <w:rPr>
          <w:rFonts w:hint="eastAsia" w:hAnsi="仿宋"/>
        </w:rPr>
        <w:t>示范区</w:t>
      </w:r>
      <w:r>
        <w:rPr>
          <w:rFonts w:hAnsi="仿宋"/>
        </w:rPr>
        <w:t>特色农业产业集群</w:t>
      </w:r>
      <w:r>
        <w:rPr>
          <w:rFonts w:hint="eastAsia" w:hAnsi="仿宋"/>
        </w:rPr>
        <w:t>。</w:t>
      </w:r>
      <w:r>
        <w:rPr>
          <w:rFonts w:hAnsi="仿宋"/>
        </w:rPr>
        <w:t>积极引导特色产业向</w:t>
      </w:r>
      <w:r>
        <w:rPr>
          <w:rFonts w:hint="eastAsia" w:hAnsi="仿宋"/>
        </w:rPr>
        <w:t>农业</w:t>
      </w:r>
      <w:r>
        <w:rPr>
          <w:rFonts w:hAnsi="仿宋"/>
        </w:rPr>
        <w:t>示范区聚集，发挥要素集聚和融合平台作用，促进产业格局由分散向集中、发展方式由粗放向集约、产业链条由单一向复合转变。</w:t>
      </w:r>
    </w:p>
    <w:p>
      <w:pPr>
        <w:pStyle w:val="5"/>
        <w:spacing w:line="240" w:lineRule="auto"/>
        <w:ind w:firstLine="643"/>
        <w:rPr>
          <w:rFonts w:hAnsi="仿宋"/>
        </w:rPr>
      </w:pPr>
      <w:r>
        <w:rPr>
          <w:rFonts w:hint="eastAsia" w:hAnsi="仿宋"/>
        </w:rPr>
        <w:t>二、构建各级示范区梯次发展格局</w:t>
      </w:r>
    </w:p>
    <w:p>
      <w:pPr>
        <w:spacing w:line="240" w:lineRule="auto"/>
        <w:ind w:firstLine="640"/>
        <w:rPr>
          <w:rFonts w:hAnsi="仿宋"/>
        </w:rPr>
      </w:pPr>
      <w:r>
        <w:rPr>
          <w:rFonts w:hint="eastAsia" w:hAnsi="仿宋"/>
        </w:rPr>
        <w:t>“十四五”期间，钦州市将以县（区）为单位，按照一年有起色、三年见成效、五年成体系的总体安排，实行全县区同创，全力推进现代特色农业示范区创建工作，新建和提质升级一批特色鲜明、产业融合度高、效益突出的现代化示范区。开展耕地质量保护与提升行动，优化粮食产业结构，促进水果、畜禽、水稻、渔业等产业提档升级。持续开展增点扩面、提质升级行动，分梯次推进一批特色产业自治区级、县级示范区、乡级示范园和村级示范点的建设，形成梯次推进现代特色农业示范区的发展格局。</w:t>
      </w:r>
    </w:p>
    <w:tbl>
      <w:tblPr>
        <w:tblStyle w:val="24"/>
        <w:tblW w:w="90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004" w:type="dxa"/>
          </w:tcPr>
          <w:p>
            <w:pPr>
              <w:spacing w:line="240" w:lineRule="auto"/>
              <w:ind w:firstLine="643"/>
              <w:jc w:val="center"/>
              <w:rPr>
                <w:rFonts w:ascii="仿宋_GB2312" w:cstheme="minorBidi"/>
                <w:b/>
                <w:szCs w:val="22"/>
              </w:rPr>
            </w:pPr>
            <w:r>
              <w:rPr>
                <w:rFonts w:hint="eastAsia" w:ascii="仿宋_GB2312"/>
                <w:b/>
                <w:kern w:val="0"/>
                <w:szCs w:val="28"/>
              </w:rPr>
              <w:t>专栏1 区域联动建设重点工程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9004" w:type="dxa"/>
          </w:tcPr>
          <w:p>
            <w:pPr>
              <w:ind w:firstLine="562"/>
              <w:rPr>
                <w:rFonts w:hAnsi="仿宋"/>
                <w:sz w:val="28"/>
                <w:szCs w:val="22"/>
              </w:rPr>
            </w:pPr>
            <w:r>
              <w:rPr>
                <w:rFonts w:hint="eastAsia" w:hAnsi="仿宋"/>
                <w:b/>
                <w:bCs/>
                <w:sz w:val="28"/>
                <w:szCs w:val="22"/>
              </w:rPr>
              <w:t>“国家级-自治区级-县级”三梯次现代特色农业产业园建设工程：</w:t>
            </w:r>
            <w:r>
              <w:rPr>
                <w:rFonts w:hint="eastAsia" w:hAnsi="仿宋"/>
                <w:sz w:val="28"/>
                <w:szCs w:val="22"/>
              </w:rPr>
              <w:t>以“强龙头、补链条、聚集群”为理念，以“十四五”时期，示范区高质量发展为契机，按照“1个公用品牌+N个示范区”+“10+3”特色产业的思路，重点打造国家级浦北县农业现代化示范区项目、自治区级钦南区那雾山森林生态文化旅游示范区等一批现代特色农业园区。</w:t>
            </w:r>
          </w:p>
          <w:p>
            <w:pPr>
              <w:ind w:firstLine="562"/>
              <w:rPr>
                <w:rFonts w:ascii="宋体" w:hAnsi="宋体" w:eastAsia="宋体" w:cs="宋体"/>
                <w:kern w:val="0"/>
                <w:sz w:val="24"/>
              </w:rPr>
            </w:pPr>
            <w:r>
              <w:rPr>
                <w:rFonts w:hint="eastAsia" w:ascii="仿宋_GB2312" w:hAnsi="黑体" w:cs="黑体"/>
                <w:b/>
                <w:sz w:val="28"/>
                <w:szCs w:val="22"/>
              </w:rPr>
              <w:t>“一村一品、一镇一业”提升工程</w:t>
            </w:r>
            <w:r>
              <w:rPr>
                <w:rFonts w:hint="eastAsia" w:ascii="仿宋_GB2312"/>
                <w:b/>
                <w:sz w:val="28"/>
                <w:szCs w:val="22"/>
              </w:rPr>
              <w:t>：</w:t>
            </w:r>
            <w:r>
              <w:rPr>
                <w:rFonts w:hint="eastAsia" w:ascii="仿宋_GB2312"/>
                <w:sz w:val="28"/>
                <w:szCs w:val="22"/>
              </w:rPr>
              <w:t>持续推进“一村一品、一镇一业”建设，依托村镇的资源禀赋，突出绿色化、优质化、特色化、品牌化，培优地方特色产业，做强富民兴村产业。依托妃子荔、钦州大蚝、四会柑等特色产业，以示范区为主体打造一批特色小镇，重点打造</w:t>
            </w:r>
            <w:r>
              <w:rPr>
                <w:rFonts w:hint="eastAsia"/>
                <w:sz w:val="28"/>
                <w:szCs w:val="28"/>
                <w:shd w:val="clear" w:color="auto" w:fill="FFFFFF"/>
              </w:rPr>
              <w:t>钦北区平吉九佰垌农业生态小镇、浦北县北通康养特色小镇、浦北县龙门产业强镇等特色小镇；</w:t>
            </w:r>
            <w:r>
              <w:rPr>
                <w:rFonts w:hint="eastAsia" w:ascii="仿宋_GB2312"/>
                <w:sz w:val="28"/>
                <w:szCs w:val="22"/>
              </w:rPr>
              <w:t>推进灵山县武利镇汉塘村、灵山县平南镇桃禾村、浦北县北通镇那新村、钦南区那丽镇殿艮村等“一村一品”示范建设。</w:t>
            </w:r>
          </w:p>
        </w:tc>
      </w:tr>
    </w:tbl>
    <w:p>
      <w:pPr>
        <w:pStyle w:val="4"/>
        <w:spacing w:before="292" w:beforeLines="50" w:after="292" w:afterLines="50"/>
      </w:pPr>
      <w:bookmarkStart w:id="17" w:name="_Toc119667492"/>
      <w:r>
        <w:rPr>
          <w:rFonts w:hint="eastAsia"/>
        </w:rPr>
        <w:t>第二节 综合提升科技支撑能力，促进示范区科技发展</w:t>
      </w:r>
      <w:bookmarkEnd w:id="17"/>
    </w:p>
    <w:p>
      <w:pPr>
        <w:pStyle w:val="5"/>
        <w:spacing w:line="240" w:lineRule="auto"/>
        <w:ind w:firstLine="643"/>
        <w:rPr>
          <w:rFonts w:hAnsi="仿宋"/>
        </w:rPr>
      </w:pPr>
      <w:r>
        <w:rPr>
          <w:rFonts w:hint="eastAsia" w:hAnsi="仿宋"/>
        </w:rPr>
        <w:t>一、推动示范区农业科技创新发展</w:t>
      </w:r>
    </w:p>
    <w:p>
      <w:pPr>
        <w:spacing w:line="240" w:lineRule="auto"/>
        <w:ind w:firstLine="640"/>
        <w:rPr>
          <w:rFonts w:hAnsi="仿宋"/>
        </w:rPr>
      </w:pPr>
      <w:r>
        <w:rPr>
          <w:rFonts w:hint="eastAsia" w:hAnsi="仿宋"/>
          <w:color w:val="000000" w:themeColor="text1"/>
          <w14:textFill>
            <w14:solidFill>
              <w14:schemeClr w14:val="tx1"/>
            </w14:solidFill>
          </w14:textFill>
        </w:rPr>
        <w:t>落实科技兴农战略，构建粤港澳大湾区与钦州湾“两湾联动”的新格局，积极对接粤港澳大湾区城市群，搭建农业科技创新走廊，加快构建示范区农业科技创新体系。鼓励农业企业与高等院校、科研院所进行对接，搭建科研院校与示范区入驻龙头企业联合开展现代农业产业技术研发、农业科技创新、产学研活动的研发合作平台，提升示范区科技创新能力。深化产学研一体化融合，建立健全产前、产中、产后技术服务体系。鼓励和支持农业龙头</w:t>
      </w:r>
      <w:r>
        <w:rPr>
          <w:rFonts w:hint="eastAsia" w:hAnsi="仿宋"/>
        </w:rPr>
        <w:t>企业建立研发中心、重点实验室，围绕育苗育种、标准化种养、产品研发、质量控制等环节，充分运用新技术、新装备，加快数字化、信息化、智能化升级改造，提升示范区自主创新水平，推进物联网、人工智能及大数据技术在农业及食品生产各环节的集成应用。</w:t>
      </w:r>
      <w:r>
        <w:rPr>
          <w:rFonts w:hint="eastAsia" w:hAnsi="仿宋"/>
          <w:szCs w:val="32"/>
          <w:shd w:val="clear" w:color="auto" w:fill="FFFFFF"/>
        </w:rPr>
        <w:t>继续开展基层农技人员轮训，实施乡镇农技人员定向培养，提升基层农技推广体系综合服务效能。</w:t>
      </w:r>
    </w:p>
    <w:p>
      <w:pPr>
        <w:pStyle w:val="5"/>
        <w:spacing w:line="240" w:lineRule="auto"/>
        <w:ind w:firstLine="643"/>
        <w:rPr>
          <w:rFonts w:hAnsi="仿宋"/>
        </w:rPr>
      </w:pPr>
      <w:r>
        <w:rPr>
          <w:rFonts w:hint="eastAsia" w:hAnsi="仿宋"/>
        </w:rPr>
        <w:t>二、建设示范区优质种业培育基地，</w:t>
      </w:r>
      <w:r>
        <w:rPr>
          <w:rFonts w:hAnsi="仿宋"/>
        </w:rPr>
        <w:t>加快推进种业振兴</w:t>
      </w:r>
    </w:p>
    <w:p>
      <w:pPr>
        <w:spacing w:line="240" w:lineRule="auto"/>
        <w:ind w:firstLine="640"/>
        <w:rPr>
          <w:rFonts w:hAnsi="仿宋"/>
        </w:rPr>
      </w:pPr>
      <w:r>
        <w:rPr>
          <w:rFonts w:hint="eastAsia" w:hAnsi="仿宋"/>
          <w:szCs w:val="32"/>
          <w:shd w:val="clear" w:color="auto" w:fill="FFFFFF"/>
        </w:rPr>
        <w:t>强化种质资源保护开发利用，引导科研院所与种业企业联合研发，积极在示范区培育“育、繁、推”一体化种业企业，提升企业自主创新能力，引导和支持企业进行种业研究，</w:t>
      </w:r>
      <w:r>
        <w:rPr>
          <w:rFonts w:hint="eastAsia" w:hAnsi="仿宋"/>
        </w:rPr>
        <w:t>力争在种苗培育及繁育、标准化种植、机械化采收、规模化养殖等关键技术上取得突破性进展</w:t>
      </w:r>
      <w:r>
        <w:rPr>
          <w:rFonts w:hint="eastAsia" w:hAnsi="仿宋"/>
          <w:szCs w:val="32"/>
          <w:shd w:val="clear" w:color="auto" w:fill="FFFFFF"/>
        </w:rPr>
        <w:t>。加快示范区各类良种繁育基地创建，</w:t>
      </w:r>
      <w:r>
        <w:rPr>
          <w:rFonts w:hint="eastAsia" w:hAnsi="仿宋"/>
        </w:rPr>
        <w:t>开展品种引进示范和品种创新，</w:t>
      </w:r>
      <w:r>
        <w:rPr>
          <w:rFonts w:hint="eastAsia" w:hAnsi="仿宋"/>
          <w:szCs w:val="32"/>
          <w:shd w:val="clear" w:color="auto" w:fill="FFFFFF"/>
        </w:rPr>
        <w:t>围绕钦州市粮食、水果、蔬菜、黄瓜皮、茶叶、中药材、畜禽、水产品等产业，引进、繁育适合钦州市的农业新品种，</w:t>
      </w:r>
      <w:r>
        <w:rPr>
          <w:rFonts w:hint="eastAsia" w:hAnsi="仿宋"/>
        </w:rPr>
        <w:t>推动示范区新品种培育及其配套技术的集成应用和推广</w:t>
      </w:r>
      <w:r>
        <w:rPr>
          <w:rFonts w:hint="eastAsia" w:hAnsi="仿宋"/>
          <w:szCs w:val="32"/>
          <w:shd w:val="clear" w:color="auto" w:fill="FFFFFF"/>
        </w:rPr>
        <w:t>，加快新品种、新组合的推广和产业化应用。</w:t>
      </w:r>
      <w:r>
        <w:rPr>
          <w:rFonts w:hint="eastAsia" w:hAnsi="仿宋"/>
        </w:rPr>
        <w:t>开展主要农产品加工与综合利用关键技术研究与示范推广，开发一批具有自主知识产权的关键技术，全面提升农产品品牌的科技含量。</w:t>
      </w:r>
      <w:r>
        <w:rPr>
          <w:rFonts w:hint="eastAsia" w:hAnsi="仿宋"/>
          <w:szCs w:val="32"/>
          <w:shd w:val="clear" w:color="auto" w:fill="FFFFFF"/>
        </w:rPr>
        <w:t>构建粤港澳大湾区与钦州湾“两湾联动”的新格局</w:t>
      </w:r>
      <w:r>
        <w:rPr>
          <w:rFonts w:hint="eastAsia" w:hAnsi="仿宋"/>
        </w:rPr>
        <w:t>，加强与粤港澳大湾区城市群的种业企业交流合作。加快数字种业建设，加快实现种业可追溯管理。力争到2025年，自治区现代特色农业示范区主导产业主推品种覆盖率达到100%。</w:t>
      </w:r>
    </w:p>
    <w:p>
      <w:pPr>
        <w:pStyle w:val="5"/>
        <w:spacing w:line="240" w:lineRule="auto"/>
        <w:ind w:firstLine="643"/>
        <w:rPr>
          <w:rFonts w:hAnsi="仿宋"/>
        </w:rPr>
      </w:pPr>
      <w:r>
        <w:rPr>
          <w:rFonts w:hint="eastAsia" w:hAnsi="仿宋"/>
        </w:rPr>
        <w:t>三、发挥专业人才指导作用，加快技术推广与科技成果转化</w:t>
      </w:r>
    </w:p>
    <w:p>
      <w:pPr>
        <w:spacing w:line="240" w:lineRule="auto"/>
        <w:ind w:firstLine="640"/>
        <w:rPr>
          <w:rFonts w:hAnsi="仿宋"/>
        </w:rPr>
      </w:pPr>
      <w:r>
        <w:rPr>
          <w:rFonts w:hint="eastAsia" w:hAnsi="仿宋"/>
        </w:rPr>
        <w:t>持续推进农业科技特派员工作，构建“专家—农技推广员—技术指导员—科技示范户—辐射带动户”的农业技术服务模式，统筹一批农业科技人才对口服务示范区建设。强化示范区农业技术推广体系建设，建立现代农业科技创新推广体系和农业科技服务体系，培育形成以基层农技推广体系为主导，农业科研院校、农业龙头企业、新型经营主等共同参与的多元化农技推广网络。建立科技成果转化交易平台，建立科技成果入园转化机制，创新“政研企园”互动合作模式，支持高校和科研院所在示范区建设科技成果转化和服务基地，构建科技成果快速转化通道。进一步提升示范区现代科技设备和生产设施装备水平，实现标准化生产、自动化控制和数字化管理。</w:t>
      </w:r>
    </w:p>
    <w:p>
      <w:pPr>
        <w:pStyle w:val="5"/>
        <w:spacing w:line="240" w:lineRule="auto"/>
        <w:ind w:firstLine="643"/>
        <w:rPr>
          <w:rFonts w:hAnsi="仿宋"/>
        </w:rPr>
      </w:pPr>
      <w:r>
        <w:rPr>
          <w:rFonts w:hint="eastAsia" w:hAnsi="仿宋"/>
        </w:rPr>
        <w:t>四、数字化助推示范区高质量发展</w:t>
      </w:r>
    </w:p>
    <w:p>
      <w:pPr>
        <w:spacing w:after="292" w:afterLines="50" w:line="240" w:lineRule="auto"/>
        <w:ind w:firstLine="640"/>
        <w:rPr>
          <w:rFonts w:hAnsi="仿宋"/>
        </w:rPr>
      </w:pPr>
      <w:r>
        <w:rPr>
          <w:rFonts w:hint="eastAsia" w:hAnsi="仿宋"/>
        </w:rPr>
        <w:t>因地制宜，推进智慧农业建设，全面提升示范区“互联网+现代农业”发展水平，促进物联网、大数据、云计算、移动互联、智能控制、卫星定位、区块链条等信息技术的深度融合，引导示范区农业生产智能化、绿色化、服务化转型，促进钦州市农业智能、绿色、可持续发展。以建设钦州市农业大数据平台为抓手，搭建示范区农业资源数据库，推进数据的共享和开放，加快形成跨层级、跨地域、跨系统、跨部门、跨业务的农业数字资源体系，提高农业数据资源采集、梳理、应用水平，提升农业生产经营的数字化、智能化水平。重点面向“10+3”特色农业产业，以农业龙头企业为主体，以示范区为平台，开展5G智慧农业科创园、试验区等建设，打造一批数字化现代特色农业示范区。</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spacing w:line="240" w:lineRule="auto"/>
              <w:ind w:firstLine="643"/>
              <w:jc w:val="center"/>
              <w:rPr>
                <w:rFonts w:ascii="仿宋_GB2312" w:cstheme="minorBidi"/>
                <w:b/>
                <w:szCs w:val="22"/>
              </w:rPr>
            </w:pPr>
            <w:r>
              <w:rPr>
                <w:rFonts w:hint="eastAsia" w:ascii="仿宋_GB2312" w:hAnsi="黑体" w:cs="黑体"/>
                <w:b/>
                <w:szCs w:val="28"/>
              </w:rPr>
              <w:t>专栏2 示范区科技支撑重点工程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ind w:firstLine="562"/>
              <w:rPr>
                <w:rFonts w:hAnsi="仿宋"/>
                <w:color w:val="000000" w:themeColor="text1"/>
                <w:sz w:val="28"/>
                <w:szCs w:val="22"/>
                <w14:textFill>
                  <w14:solidFill>
                    <w14:schemeClr w14:val="tx1"/>
                  </w14:solidFill>
                </w14:textFill>
              </w:rPr>
            </w:pPr>
            <w:r>
              <w:rPr>
                <w:rFonts w:hint="eastAsia" w:hAnsi="仿宋" w:cs="黑体"/>
                <w:b/>
                <w:color w:val="000000" w:themeColor="text1"/>
                <w:sz w:val="28"/>
                <w:szCs w:val="22"/>
                <w14:textFill>
                  <w14:solidFill>
                    <w14:schemeClr w14:val="tx1"/>
                  </w14:solidFill>
                </w14:textFill>
              </w:rPr>
              <w:t>农业科技合作研发平台建设工程：</w:t>
            </w:r>
            <w:r>
              <w:rPr>
                <w:rFonts w:hint="eastAsia" w:hAnsi="仿宋"/>
                <w:color w:val="000000" w:themeColor="text1"/>
                <w:sz w:val="28"/>
                <w:szCs w:val="22"/>
                <w14:textFill>
                  <w14:solidFill>
                    <w14:schemeClr w14:val="tx1"/>
                  </w14:solidFill>
                </w14:textFill>
              </w:rPr>
              <w:t>推进示范区农业龙头企业加强与院士工作站、农业科研院所、农业高校等合作交流，吸引一批农业科研院所在示范区设立研究平台；加强对农业龙头企业的引导扶持，支持龙头企业建设重点实验室。围绕集约化种养殖、农产品精深加工、资源高效利用、现代农业装备、农业信息化、智慧化应用等领域，在示范区建设一批符合现代农业发展方向、具有显著示范带动作用的农业科技成果转化示范基地。</w:t>
            </w:r>
          </w:p>
          <w:p>
            <w:pPr>
              <w:widowControl/>
              <w:spacing w:line="240" w:lineRule="auto"/>
              <w:ind w:firstLine="562"/>
              <w:jc w:val="left"/>
              <w:rPr>
                <w:rFonts w:hAnsi="仿宋" w:cs="宋体"/>
                <w:color w:val="000000" w:themeColor="text1"/>
                <w:kern w:val="0"/>
                <w:sz w:val="28"/>
                <w:szCs w:val="28"/>
                <w14:textFill>
                  <w14:solidFill>
                    <w14:schemeClr w14:val="tx1"/>
                  </w14:solidFill>
                </w14:textFill>
              </w:rPr>
            </w:pPr>
            <w:r>
              <w:rPr>
                <w:rFonts w:hint="eastAsia" w:hAnsi="仿宋" w:cs="黑体"/>
                <w:b/>
                <w:color w:val="000000" w:themeColor="text1"/>
                <w:sz w:val="28"/>
                <w:szCs w:val="22"/>
                <w14:textFill>
                  <w14:solidFill>
                    <w14:schemeClr w14:val="tx1"/>
                  </w14:solidFill>
                </w14:textFill>
              </w:rPr>
              <w:t>现代种业提升工程：</w:t>
            </w:r>
            <w:r>
              <w:rPr>
                <w:rFonts w:hint="eastAsia" w:hAnsi="仿宋" w:cs="宋体"/>
                <w:color w:val="000000" w:themeColor="text1"/>
                <w:kern w:val="0"/>
                <w:sz w:val="28"/>
                <w:szCs w:val="28"/>
                <w14:textFill>
                  <w14:solidFill>
                    <w14:schemeClr w14:val="tx1"/>
                  </w14:solidFill>
                </w14:textFill>
              </w:rPr>
              <w:t>加强示范区制种基地和良种繁育体系建设。完善示范区对虾规模育苗场</w:t>
            </w:r>
            <w:r>
              <w:rPr>
                <w:rFonts w:hAnsi="仿宋"/>
                <w:color w:val="000000" w:themeColor="text1"/>
                <w:kern w:val="0"/>
                <w:sz w:val="28"/>
                <w:szCs w:val="28"/>
                <w14:textFill>
                  <w14:solidFill>
                    <w14:schemeClr w14:val="tx1"/>
                  </w14:solidFill>
                </w14:textFill>
              </w:rPr>
              <w:t>10</w:t>
            </w:r>
            <w:r>
              <w:rPr>
                <w:rFonts w:hint="eastAsia" w:hAnsi="仿宋" w:cs="宋体"/>
                <w:color w:val="000000" w:themeColor="text1"/>
                <w:kern w:val="0"/>
                <w:sz w:val="28"/>
                <w:szCs w:val="28"/>
                <w14:textFill>
                  <w14:solidFill>
                    <w14:schemeClr w14:val="tx1"/>
                  </w14:solidFill>
                </w14:textFill>
              </w:rPr>
              <w:t>个，年育虾苗量达到</w:t>
            </w:r>
            <w:r>
              <w:rPr>
                <w:rFonts w:hAnsi="仿宋"/>
                <w:color w:val="000000" w:themeColor="text1"/>
                <w:kern w:val="0"/>
                <w:sz w:val="28"/>
                <w:szCs w:val="28"/>
                <w14:textFill>
                  <w14:solidFill>
                    <w14:schemeClr w14:val="tx1"/>
                  </w14:solidFill>
                </w14:textFill>
              </w:rPr>
              <w:t>80</w:t>
            </w:r>
            <w:r>
              <w:rPr>
                <w:rFonts w:hint="eastAsia" w:hAnsi="仿宋" w:cs="宋体"/>
                <w:color w:val="000000" w:themeColor="text1"/>
                <w:kern w:val="0"/>
                <w:sz w:val="28"/>
                <w:szCs w:val="28"/>
                <w14:textFill>
                  <w14:solidFill>
                    <w14:schemeClr w14:val="tx1"/>
                  </w14:solidFill>
                </w14:textFill>
              </w:rPr>
              <w:t>亿尾；建设石斑鱼、金鲳鱼等海水名贵鱼类繁育示范基地</w:t>
            </w:r>
            <w:r>
              <w:rPr>
                <w:rFonts w:hAnsi="仿宋"/>
                <w:color w:val="000000" w:themeColor="text1"/>
                <w:kern w:val="0"/>
                <w:sz w:val="28"/>
                <w:szCs w:val="28"/>
                <w14:textFill>
                  <w14:solidFill>
                    <w14:schemeClr w14:val="tx1"/>
                  </w14:solidFill>
                </w14:textFill>
              </w:rPr>
              <w:t>3</w:t>
            </w:r>
            <w:r>
              <w:rPr>
                <w:rFonts w:hint="eastAsia" w:hAnsi="仿宋" w:cs="宋体"/>
                <w:color w:val="000000" w:themeColor="text1"/>
                <w:kern w:val="0"/>
                <w:sz w:val="28"/>
                <w:szCs w:val="28"/>
                <w14:textFill>
                  <w14:solidFill>
                    <w14:schemeClr w14:val="tx1"/>
                  </w14:solidFill>
                </w14:textFill>
              </w:rPr>
              <w:t>个以上，人工年育苗量达到</w:t>
            </w:r>
            <w:r>
              <w:rPr>
                <w:rFonts w:hAnsi="仿宋"/>
                <w:color w:val="000000" w:themeColor="text1"/>
                <w:kern w:val="0"/>
                <w:sz w:val="28"/>
                <w:szCs w:val="28"/>
                <w14:textFill>
                  <w14:solidFill>
                    <w14:schemeClr w14:val="tx1"/>
                  </w14:solidFill>
                </w14:textFill>
              </w:rPr>
              <w:t>5000</w:t>
            </w:r>
            <w:r>
              <w:rPr>
                <w:rFonts w:hint="eastAsia" w:hAnsi="仿宋" w:cs="宋体"/>
                <w:color w:val="000000" w:themeColor="text1"/>
                <w:kern w:val="0"/>
                <w:sz w:val="28"/>
                <w:szCs w:val="28"/>
                <w14:textFill>
                  <w14:solidFill>
                    <w14:schemeClr w14:val="tx1"/>
                  </w14:solidFill>
                </w14:textFill>
              </w:rPr>
              <w:t>万尾以上；建设自治区级淡水鱼类良种场</w:t>
            </w:r>
            <w:r>
              <w:rPr>
                <w:rFonts w:hAnsi="仿宋"/>
                <w:color w:val="000000" w:themeColor="text1"/>
                <w:kern w:val="0"/>
                <w:sz w:val="28"/>
                <w:szCs w:val="28"/>
                <w14:textFill>
                  <w14:solidFill>
                    <w14:schemeClr w14:val="tx1"/>
                  </w14:solidFill>
                </w14:textFill>
              </w:rPr>
              <w:t>2</w:t>
            </w:r>
            <w:r>
              <w:rPr>
                <w:rFonts w:hint="eastAsia" w:hAnsi="仿宋" w:cs="宋体"/>
                <w:color w:val="000000" w:themeColor="text1"/>
                <w:kern w:val="0"/>
                <w:sz w:val="28"/>
                <w:szCs w:val="28"/>
                <w14:textFill>
                  <w14:solidFill>
                    <w14:schemeClr w14:val="tx1"/>
                  </w14:solidFill>
                </w14:textFill>
              </w:rPr>
              <w:t>个以上，年培育各种优质淡水苗种</w:t>
            </w:r>
            <w:r>
              <w:rPr>
                <w:rFonts w:hAnsi="仿宋"/>
                <w:color w:val="000000" w:themeColor="text1"/>
                <w:kern w:val="0"/>
                <w:sz w:val="28"/>
                <w:szCs w:val="28"/>
                <w14:textFill>
                  <w14:solidFill>
                    <w14:schemeClr w14:val="tx1"/>
                  </w14:solidFill>
                </w14:textFill>
              </w:rPr>
              <w:t>100</w:t>
            </w:r>
            <w:r>
              <w:rPr>
                <w:rFonts w:hint="eastAsia" w:hAnsi="仿宋" w:cs="宋体"/>
                <w:color w:val="000000" w:themeColor="text1"/>
                <w:kern w:val="0"/>
                <w:sz w:val="28"/>
                <w:szCs w:val="28"/>
                <w14:textFill>
                  <w14:solidFill>
                    <w14:schemeClr w14:val="tx1"/>
                  </w14:solidFill>
                </w14:textFill>
              </w:rPr>
              <w:t>亿尾以上；建设自治区级果苗培育示范区标准育苗基地2个以上，建设鸡苗、种猪等畜禽类繁育示范基地</w:t>
            </w:r>
            <w:r>
              <w:rPr>
                <w:rFonts w:hAnsi="仿宋"/>
                <w:color w:val="000000" w:themeColor="text1"/>
                <w:kern w:val="0"/>
                <w:sz w:val="28"/>
                <w:szCs w:val="28"/>
                <w14:textFill>
                  <w14:solidFill>
                    <w14:schemeClr w14:val="tx1"/>
                  </w14:solidFill>
                </w14:textFill>
              </w:rPr>
              <w:t>3</w:t>
            </w:r>
            <w:r>
              <w:rPr>
                <w:rFonts w:hint="eastAsia" w:hAnsi="仿宋" w:cs="宋体"/>
                <w:color w:val="000000" w:themeColor="text1"/>
                <w:kern w:val="0"/>
                <w:sz w:val="28"/>
                <w:szCs w:val="28"/>
                <w14:textFill>
                  <w14:solidFill>
                    <w14:schemeClr w14:val="tx1"/>
                  </w14:solidFill>
                </w14:textFill>
              </w:rPr>
              <w:t>个以上。</w:t>
            </w:r>
          </w:p>
          <w:p>
            <w:pPr>
              <w:widowControl/>
              <w:spacing w:line="240" w:lineRule="auto"/>
              <w:ind w:firstLine="562"/>
              <w:jc w:val="left"/>
              <w:rPr>
                <w:rFonts w:ascii="宋体" w:hAnsi="宋体" w:eastAsia="宋体" w:cs="宋体"/>
                <w:kern w:val="0"/>
                <w:sz w:val="24"/>
              </w:rPr>
            </w:pPr>
            <w:r>
              <w:rPr>
                <w:rFonts w:hint="eastAsia" w:hAnsi="仿宋"/>
                <w:b/>
                <w:color w:val="000000" w:themeColor="text1"/>
                <w:sz w:val="28"/>
                <w:szCs w:val="28"/>
                <w14:textFill>
                  <w14:solidFill>
                    <w14:schemeClr w14:val="tx1"/>
                  </w14:solidFill>
                </w14:textFill>
              </w:rPr>
              <w:t>数字农业建设工程：</w:t>
            </w:r>
            <w:r>
              <w:rPr>
                <w:rFonts w:hint="eastAsia" w:hAnsi="仿宋"/>
                <w:color w:val="000000" w:themeColor="text1"/>
                <w:sz w:val="28"/>
                <w:szCs w:val="22"/>
                <w14:textFill>
                  <w14:solidFill>
                    <w14:schemeClr w14:val="tx1"/>
                  </w14:solidFill>
                </w14:textFill>
              </w:rPr>
              <w:t>整合农业基础数据，搭建示范区农业资源数据库，建立钦州市农业大数据平台，为示范区的农业发展提供真实的数据。以示范区为平台，加快推广云计算、大数据、物联网、人工智能在农业生产经营管理中的运用，打造一批智慧农业示范区，推进钦州市农业数字化转型。</w:t>
            </w:r>
          </w:p>
        </w:tc>
      </w:tr>
    </w:tbl>
    <w:p>
      <w:pPr>
        <w:ind w:firstLine="640"/>
        <w:jc w:val="left"/>
      </w:pPr>
      <w:r>
        <w:rPr>
          <w:rFonts w:hint="eastAsia"/>
        </w:rPr>
        <w:t xml:space="preserve">　　 </w:t>
      </w:r>
      <w:r>
        <w:t xml:space="preserve">        </w:t>
      </w:r>
    </w:p>
    <w:p>
      <w:pPr>
        <w:ind w:firstLine="640"/>
      </w:pPr>
    </w:p>
    <w:p>
      <w:pPr>
        <w:ind w:firstLine="640"/>
      </w:pPr>
    </w:p>
    <w:p>
      <w:pPr>
        <w:pStyle w:val="4"/>
        <w:spacing w:after="292" w:afterLines="50"/>
      </w:pPr>
      <w:bookmarkStart w:id="18" w:name="_Toc119667493"/>
      <w:r>
        <w:rPr>
          <w:rFonts w:hint="eastAsia"/>
        </w:rPr>
        <w:t>第三节 加强基础设施建设，着力夯实示范区发展基础</w:t>
      </w:r>
      <w:bookmarkEnd w:id="18"/>
    </w:p>
    <w:p>
      <w:pPr>
        <w:pStyle w:val="5"/>
        <w:spacing w:line="240" w:lineRule="auto"/>
        <w:ind w:firstLine="643"/>
        <w:rPr>
          <w:rFonts w:hAnsi="仿宋"/>
        </w:rPr>
      </w:pPr>
      <w:r>
        <w:rPr>
          <w:rFonts w:hint="eastAsia" w:hAnsi="仿宋"/>
        </w:rPr>
        <w:t>一、持续推进示范区高标准农田建设</w:t>
      </w:r>
    </w:p>
    <w:p>
      <w:pPr>
        <w:spacing w:line="240" w:lineRule="auto"/>
        <w:ind w:firstLine="640"/>
        <w:rPr>
          <w:rFonts w:hAnsi="仿宋"/>
        </w:rPr>
      </w:pPr>
      <w:r>
        <w:rPr>
          <w:rFonts w:hint="eastAsia" w:hAnsi="仿宋"/>
          <w:szCs w:val="32"/>
          <w:shd w:val="clear" w:color="auto" w:fill="FFFFFF"/>
        </w:rPr>
        <w:t>根据钦州2021—2030年高标准农田建设规划，</w:t>
      </w:r>
      <w:r>
        <w:rPr>
          <w:rFonts w:hint="eastAsia" w:hAnsi="仿宋"/>
        </w:rPr>
        <w:t>坚持示范引领，稳步推进高标准农田建设，整合农田基本建设各渠道的资金和项目，引导鼓励金融机构、各类新型农业经营主体，积极投入到示范区中低产田改造及高标准农田建设，实施以“提升土壤有机质”、“测土配方施肥”为重点的育土工程，加强旱涝保收标准农田示范工程及配套建设；完善大中小微结合、骨干和田间衔接、蓄引提排结合、管理现代高效的农田水利网络。进一步完善示范区水利基础设施条件，全面实施区域规模化高效节水灌溉行动，推进小型农田水利、高效节水灌溉等水利工程建设；另外也要做好示范区道路、电网、网络等方面的建设，以完备的基础设施保障示范区的高速发展。</w:t>
      </w:r>
    </w:p>
    <w:p>
      <w:pPr>
        <w:pStyle w:val="5"/>
        <w:spacing w:line="240" w:lineRule="auto"/>
        <w:ind w:firstLine="643"/>
        <w:rPr>
          <w:rFonts w:hAnsi="仿宋"/>
        </w:rPr>
      </w:pPr>
      <w:r>
        <w:rPr>
          <w:rFonts w:hint="eastAsia" w:hAnsi="仿宋"/>
        </w:rPr>
        <w:t>二、积极发展示范区现代化物流</w:t>
      </w:r>
    </w:p>
    <w:p>
      <w:pPr>
        <w:spacing w:line="240" w:lineRule="auto"/>
        <w:ind w:firstLine="640"/>
        <w:rPr>
          <w:rFonts w:hAnsi="仿宋"/>
        </w:rPr>
      </w:pPr>
      <w:r>
        <w:rPr>
          <w:rFonts w:hint="eastAsia" w:hAnsi="仿宋"/>
        </w:rPr>
        <w:t>统筹推进示范区冷链物流体系布局，加快建设自治区、市、县三级冷链物流体系和覆盖城乡的冷链物流网点。</w:t>
      </w:r>
      <w:r>
        <w:rPr>
          <w:rFonts w:hint="eastAsia" w:hAnsi="仿宋"/>
          <w:szCs w:val="32"/>
          <w:shd w:val="clear" w:color="auto" w:fill="FFFFFF"/>
        </w:rPr>
        <w:t>贯彻落实全面实施农产品仓储保鲜冷链物流设施建设工程要求，完善“广西好嘢”顺丰丰农合作机制。</w:t>
      </w:r>
      <w:r>
        <w:rPr>
          <w:rFonts w:hint="eastAsia" w:hAnsi="仿宋"/>
        </w:rPr>
        <w:t>依托</w:t>
      </w:r>
      <w:r>
        <w:rPr>
          <w:rFonts w:hint="eastAsia" w:hAnsi="仿宋"/>
          <w:szCs w:val="32"/>
          <w:shd w:val="clear" w:color="auto" w:fill="FFFFFF"/>
        </w:rPr>
        <w:t>“</w:t>
      </w:r>
      <w:r>
        <w:rPr>
          <w:rFonts w:hint="eastAsia" w:hAnsi="仿宋"/>
        </w:rPr>
        <w:t>1</w:t>
      </w:r>
      <w:r>
        <w:rPr>
          <w:rFonts w:hAnsi="仿宋"/>
        </w:rPr>
        <w:t>0</w:t>
      </w:r>
      <w:r>
        <w:rPr>
          <w:rFonts w:hint="eastAsia" w:hAnsi="仿宋"/>
        </w:rPr>
        <w:t>+</w:t>
      </w:r>
      <w:r>
        <w:rPr>
          <w:rFonts w:hAnsi="仿宋"/>
        </w:rPr>
        <w:t>3</w:t>
      </w:r>
      <w:r>
        <w:rPr>
          <w:rFonts w:hint="eastAsia" w:hAnsi="仿宋"/>
        </w:rPr>
        <w:t>”特色产业等主产区加快配套建设一批村里冷库、田头贮藏设施、产地仓等。深入开展</w:t>
      </w:r>
      <w:r>
        <w:rPr>
          <w:rFonts w:hint="eastAsia" w:hAnsi="仿宋"/>
          <w:szCs w:val="32"/>
          <w:shd w:val="clear" w:color="auto" w:fill="FFFFFF"/>
        </w:rPr>
        <w:t>“</w:t>
      </w:r>
      <w:r>
        <w:rPr>
          <w:rFonts w:hint="eastAsia" w:hAnsi="仿宋"/>
        </w:rPr>
        <w:t>互联网+”农产品产地（批发）市场规范化示范建设，开展产地市场规划建设，大力推进县级农产品批发市场建设，</w:t>
      </w:r>
      <w:r>
        <w:rPr>
          <w:rFonts w:hint="eastAsia" w:hAnsi="仿宋"/>
          <w:szCs w:val="32"/>
          <w:shd w:val="clear" w:color="auto" w:fill="FFFFFF"/>
        </w:rPr>
        <w:t>开展村级信息社站点赋能运营，推动绿色优质农产品生产与消费有效对接。</w:t>
      </w:r>
      <w:r>
        <w:rPr>
          <w:rFonts w:hint="eastAsia" w:hAnsi="仿宋"/>
        </w:rPr>
        <w:t>依托示范区开展建设村镇地头市场规范化试点，支持新建或升级改造农贸市场，力争建成具备低温仓储、流通加工、交易展示、中转集散和分拨配送等功能的冷链物流园区，</w:t>
      </w:r>
      <w:r>
        <w:rPr>
          <w:rFonts w:hint="eastAsia" w:hAnsi="仿宋"/>
          <w:szCs w:val="32"/>
          <w:shd w:val="clear" w:color="auto" w:fill="FFFFFF"/>
        </w:rPr>
        <w:t>加快发展冷链物流业，创建农产品物流园区</w:t>
      </w:r>
      <w:r>
        <w:rPr>
          <w:rFonts w:hint="eastAsia" w:hAnsi="仿宋"/>
        </w:rPr>
        <w:t>。完善农产品跨区域流通体系，利用钦州湾便利的水运交通优势，主动实现和粤港澳大湾区的互相联动，积极对接京津冀、长三角等发达地区的高端消费市场，大力发展农超、农企、农社、农批对接以及个性化定制配送等新型营销模式，真正让钦州绿色生态农产品走出去。</w:t>
      </w:r>
    </w:p>
    <w:p>
      <w:pPr>
        <w:pStyle w:val="5"/>
        <w:spacing w:line="240" w:lineRule="auto"/>
        <w:ind w:firstLine="643"/>
        <w:rPr>
          <w:rFonts w:hAnsi="仿宋"/>
          <w:b w:val="0"/>
        </w:rPr>
      </w:pPr>
      <w:r>
        <w:rPr>
          <w:rFonts w:hint="eastAsia" w:hAnsi="仿宋"/>
        </w:rPr>
        <w:t>三、加快提升示范区抗风险能力</w:t>
      </w:r>
    </w:p>
    <w:p>
      <w:pPr>
        <w:spacing w:after="292" w:afterLines="50" w:line="240" w:lineRule="auto"/>
        <w:ind w:firstLine="640"/>
        <w:rPr>
          <w:rFonts w:hAnsi="仿宋"/>
        </w:rPr>
      </w:pPr>
      <w:r>
        <w:rPr>
          <w:rFonts w:hint="eastAsia" w:hAnsi="仿宋"/>
        </w:rPr>
        <w:t>推进天气雷达、特色农业气象站、农业小气候观测站等基础设施和服务体系建设，增强示范区农业气象灾害监测预警、预报服务、应对准备、应急处置能力，提高预报准确度，提升预警信息发布时效性。推进示范区专业化统防统治和绿色防控，强化农作物病虫疫情监测预警设施和应急防控物资储备，抓好重大植物疫情防控。建设市-县（区）-乡（镇）-村-示范区五级动物疫病防控体系，严格落实强制免疫、产地检疫、监测预警、消毒灭源、应急处置、病死畜禽无害化处理等防控措施。加强畜禽卫生监督管理，提高畜禽卫生监督执法、畜禽标识及产品可追溯能力。</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spacing w:line="240" w:lineRule="auto"/>
              <w:ind w:firstLine="228" w:firstLineChars="71"/>
              <w:jc w:val="center"/>
              <w:rPr>
                <w:rFonts w:hAnsi="仿宋" w:cstheme="minorBidi"/>
                <w:b/>
                <w:szCs w:val="22"/>
              </w:rPr>
            </w:pPr>
            <w:r>
              <w:rPr>
                <w:rFonts w:hint="eastAsia" w:hAnsi="仿宋" w:cs="黑体"/>
                <w:b/>
                <w:szCs w:val="28"/>
              </w:rPr>
              <w:t>专栏3 示范区基础设施重点工程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widowControl/>
              <w:spacing w:line="240" w:lineRule="auto"/>
              <w:ind w:firstLine="562"/>
              <w:jc w:val="left"/>
              <w:rPr>
                <w:rFonts w:hAnsi="仿宋" w:cs="宋体"/>
                <w:kern w:val="0"/>
                <w:sz w:val="24"/>
              </w:rPr>
            </w:pPr>
            <w:r>
              <w:rPr>
                <w:rFonts w:hint="eastAsia" w:hAnsi="仿宋" w:cs="黑体"/>
                <w:b/>
                <w:sz w:val="28"/>
                <w:szCs w:val="22"/>
              </w:rPr>
              <w:t>高标准农田建设。</w:t>
            </w:r>
            <w:r>
              <w:rPr>
                <w:rFonts w:hint="eastAsia" w:hAnsi="仿宋"/>
                <w:sz w:val="28"/>
                <w:szCs w:val="22"/>
              </w:rPr>
              <w:t>实施耕地质量保护和提升行动，加大农村土地综合 整治和高标准农田建设，开展休耕轮作试点，加强永久基本农田保护，到</w:t>
            </w:r>
            <w:r>
              <w:rPr>
                <w:rFonts w:hAnsi="仿宋"/>
                <w:sz w:val="28"/>
                <w:szCs w:val="22"/>
              </w:rPr>
              <w:t xml:space="preserve">2025 </w:t>
            </w:r>
            <w:r>
              <w:rPr>
                <w:rFonts w:hint="eastAsia" w:hAnsi="仿宋"/>
                <w:sz w:val="28"/>
                <w:szCs w:val="22"/>
              </w:rPr>
              <w:t>年，全市高标准农田面积达到</w:t>
            </w:r>
            <w:r>
              <w:rPr>
                <w:rFonts w:hAnsi="仿宋"/>
                <w:sz w:val="28"/>
                <w:szCs w:val="22"/>
              </w:rPr>
              <w:t>122.3</w:t>
            </w:r>
            <w:r>
              <w:rPr>
                <w:rFonts w:hint="eastAsia" w:hAnsi="仿宋"/>
                <w:sz w:val="28"/>
                <w:szCs w:val="22"/>
              </w:rPr>
              <w:t>万亩以上。</w:t>
            </w:r>
          </w:p>
          <w:p>
            <w:pPr>
              <w:spacing w:line="240" w:lineRule="auto"/>
              <w:ind w:firstLine="562"/>
              <w:rPr>
                <w:rFonts w:hAnsi="仿宋"/>
                <w:sz w:val="28"/>
                <w:szCs w:val="22"/>
              </w:rPr>
            </w:pPr>
            <w:r>
              <w:rPr>
                <w:rFonts w:hint="eastAsia" w:hAnsi="仿宋" w:cs="黑体"/>
                <w:b/>
                <w:sz w:val="28"/>
                <w:szCs w:val="22"/>
              </w:rPr>
              <w:t>示范区基础设施建设工程</w:t>
            </w:r>
            <w:r>
              <w:rPr>
                <w:rFonts w:hint="eastAsia" w:hAnsi="仿宋"/>
                <w:b/>
                <w:sz w:val="28"/>
                <w:szCs w:val="22"/>
              </w:rPr>
              <w:t>：</w:t>
            </w:r>
            <w:r>
              <w:rPr>
                <w:rFonts w:hint="eastAsia" w:hAnsi="仿宋"/>
                <w:sz w:val="28"/>
                <w:szCs w:val="22"/>
              </w:rPr>
              <w:t>优先开展示范区田块整治、土壤改良、水利设施、田间道路、配套电网、配套网络等项目的建设，以完备的基础设施保障示范区的高速发展。</w:t>
            </w:r>
          </w:p>
          <w:p>
            <w:pPr>
              <w:widowControl/>
              <w:spacing w:line="240" w:lineRule="auto"/>
              <w:ind w:firstLine="562"/>
              <w:jc w:val="left"/>
              <w:rPr>
                <w:rFonts w:hAnsi="仿宋"/>
                <w:sz w:val="28"/>
                <w:szCs w:val="22"/>
              </w:rPr>
            </w:pPr>
            <w:r>
              <w:rPr>
                <w:rFonts w:hint="eastAsia" w:hAnsi="仿宋" w:cs="黑体"/>
                <w:b/>
                <w:sz w:val="28"/>
                <w:szCs w:val="22"/>
              </w:rPr>
              <w:t>农村物流基础设施全覆盖工程：</w:t>
            </w:r>
            <w:r>
              <w:rPr>
                <w:rFonts w:hint="eastAsia" w:hAnsi="仿宋"/>
                <w:sz w:val="28"/>
                <w:szCs w:val="22"/>
              </w:rPr>
              <w:t>支持农贸市场、农村传统流通网点改进提升现有设施设备、扩展配送等物流服务功能。到2025年，在行政村和具备条件的自然村基本实现物流配送网点全覆盖。完善农村客货运服务网络，支持县级客运站和乡镇客运综合服务站建设和改造。</w:t>
            </w:r>
          </w:p>
          <w:p>
            <w:pPr>
              <w:spacing w:line="240" w:lineRule="auto"/>
              <w:ind w:firstLine="562"/>
              <w:rPr>
                <w:rFonts w:hAnsi="仿宋"/>
                <w:sz w:val="28"/>
                <w:szCs w:val="22"/>
              </w:rPr>
            </w:pPr>
            <w:r>
              <w:rPr>
                <w:rFonts w:hint="eastAsia" w:hAnsi="仿宋" w:cs="黑体"/>
                <w:b/>
                <w:sz w:val="28"/>
                <w:szCs w:val="22"/>
              </w:rPr>
              <w:t>农业灾害风险防控工程</w:t>
            </w:r>
            <w:r>
              <w:rPr>
                <w:rFonts w:hint="eastAsia" w:hAnsi="仿宋"/>
                <w:b/>
                <w:sz w:val="28"/>
                <w:szCs w:val="22"/>
              </w:rPr>
              <w:t>：</w:t>
            </w:r>
            <w:r>
              <w:rPr>
                <w:rFonts w:hint="eastAsia" w:hAnsi="仿宋"/>
                <w:sz w:val="28"/>
                <w:szCs w:val="22"/>
              </w:rPr>
              <w:t>到2025年，建成智慧气象为农服务系统工程，每个种植类自治区级现代特色农业示范区建设有农田小气候站。</w:t>
            </w:r>
          </w:p>
          <w:p>
            <w:pPr>
              <w:widowControl/>
              <w:spacing w:line="240" w:lineRule="auto"/>
              <w:ind w:firstLine="562"/>
              <w:jc w:val="left"/>
              <w:rPr>
                <w:rFonts w:hAnsi="仿宋"/>
                <w:sz w:val="28"/>
                <w:szCs w:val="22"/>
              </w:rPr>
            </w:pPr>
            <w:r>
              <w:rPr>
                <w:rFonts w:hint="eastAsia" w:hAnsi="仿宋" w:cs="黑体"/>
                <w:b/>
                <w:sz w:val="28"/>
                <w:szCs w:val="22"/>
              </w:rPr>
              <w:t>供水保障类工程：</w:t>
            </w:r>
            <w:r>
              <w:rPr>
                <w:rFonts w:hint="eastAsia" w:hAnsi="仿宋"/>
                <w:sz w:val="28"/>
                <w:szCs w:val="22"/>
              </w:rPr>
              <w:t>浦北县福旺水库工程、王仙湾水库工程、钦州市钦北区王岗山水库工程、钦州市第二水源工程、石梯-京塘湖库连通、广西灵山县城区河湖连通工程、钦南区农村供水保障工程、钦南区尖山供水管网改造一期工程、钦北区乡镇集中供水项目、钦北区王岗山水库水源大寺至大垌供水管网工程。</w:t>
            </w:r>
          </w:p>
        </w:tc>
      </w:tr>
    </w:tbl>
    <w:p>
      <w:pPr>
        <w:pStyle w:val="4"/>
        <w:spacing w:before="292" w:beforeLines="50" w:after="292" w:afterLines="50"/>
      </w:pPr>
      <w:bookmarkStart w:id="19" w:name="_Toc119667494"/>
      <w:r>
        <w:rPr>
          <w:rFonts w:hint="eastAsia"/>
        </w:rPr>
        <w:t>第四节 补齐产业链发展短板，推动示范区三产融合发展</w:t>
      </w:r>
      <w:bookmarkEnd w:id="19"/>
    </w:p>
    <w:p>
      <w:pPr>
        <w:pStyle w:val="5"/>
        <w:spacing w:line="240" w:lineRule="auto"/>
        <w:ind w:firstLine="643"/>
        <w:rPr>
          <w:rFonts w:hAnsi="仿宋"/>
        </w:rPr>
      </w:pPr>
      <w:r>
        <w:rPr>
          <w:rFonts w:hint="eastAsia" w:hAnsi="仿宋"/>
        </w:rPr>
        <w:t>一、全面提升农产品加工业</w:t>
      </w:r>
    </w:p>
    <w:p>
      <w:pPr>
        <w:widowControl/>
        <w:spacing w:line="240" w:lineRule="auto"/>
        <w:ind w:firstLine="640"/>
        <w:jc w:val="left"/>
        <w:rPr>
          <w:rFonts w:hAnsi="仿宋"/>
        </w:rPr>
      </w:pPr>
      <w:r>
        <w:rPr>
          <w:rFonts w:hint="eastAsia" w:hAnsi="仿宋"/>
        </w:rPr>
        <w:t>重点开展粮油、果蔬、蔗糖、中药材、畜禽产品、海产品、林木产品、饲料等精深加工，着力提高农产品加工率，大幅提高本地农产品加工比重。统筹发展农产品初加工、深加工和综合利用加工，推进示范区农产品多层次利用、多元化开发、多环节增值。重点支持在示范区建设、提升一批农产品产后处理及初加工项目，促进商品化处理，减少产后损失，促进农产品加工就地转化增值。实施农产品加工龙头企业培育工程，引进、培育一批规模以上农产品加工龙头企业。支持企业加强自主创新能力，与高校、科研院所开展</w:t>
      </w:r>
      <w:r>
        <w:rPr>
          <w:rFonts w:hint="eastAsia" w:hAnsi="仿宋"/>
          <w:szCs w:val="32"/>
          <w:shd w:val="clear" w:color="auto" w:fill="FFFFFF"/>
        </w:rPr>
        <w:t>“</w:t>
      </w:r>
      <w:r>
        <w:rPr>
          <w:rFonts w:hint="eastAsia" w:hAnsi="仿宋"/>
        </w:rPr>
        <w:t>产学研”合作，共建研发机构和科技创新平台，激发企业自主创新动力。引导企业加强市场研究，加快农产品多元化开发，从农产品初加工产品，过渡到食品产品和各类生活用品产品的精深加工。到2025年，力争各现代特色农业示范区都有规模以上加工龙头企业带动，全市主要农产品加工转化能力（转化率）达到 70%，农产品加工产值达到 800 亿元以上。</w:t>
      </w:r>
    </w:p>
    <w:p>
      <w:pPr>
        <w:pStyle w:val="5"/>
        <w:spacing w:line="240" w:lineRule="auto"/>
        <w:ind w:firstLine="643"/>
        <w:rPr>
          <w:rFonts w:hAnsi="仿宋"/>
        </w:rPr>
      </w:pPr>
      <w:r>
        <w:rPr>
          <w:rFonts w:hint="eastAsia" w:hAnsi="仿宋"/>
        </w:rPr>
        <w:t>二、推动示范区“现代农业+旅游”产业发展</w:t>
      </w:r>
    </w:p>
    <w:p>
      <w:pPr>
        <w:ind w:firstLine="640"/>
        <w:rPr>
          <w:rFonts w:hAnsi="仿宋"/>
        </w:rPr>
      </w:pPr>
      <w:r>
        <w:rPr>
          <w:rFonts w:hint="eastAsia" w:hAnsi="仿宋"/>
        </w:rPr>
        <w:t>依托钦州市</w:t>
      </w:r>
      <w:r>
        <w:rPr>
          <w:rFonts w:hint="eastAsia" w:hAnsi="仿宋"/>
          <w:szCs w:val="32"/>
          <w:shd w:val="clear" w:color="auto" w:fill="FFFFFF"/>
        </w:rPr>
        <w:t>“</w:t>
      </w:r>
      <w:r>
        <w:rPr>
          <w:rFonts w:hint="eastAsia" w:hAnsi="仿宋"/>
        </w:rPr>
        <w:t>一城一环两带多点”全域旅游发展格局，充分挖掘示范区农业资源、生态资源、自然资源，引导现代特色农业示范区发展休闲农业、观光旅游农业，推动示范区与休闲、旅游、文化、教育、科普、康养等产业深度融合，加快一二三产业融合发展，逐步建成节点特色明显、品牌形象突出、产业基础完善的钦州市</w:t>
      </w:r>
      <w:r>
        <w:rPr>
          <w:rFonts w:hint="eastAsia" w:hAnsi="仿宋"/>
          <w:szCs w:val="32"/>
          <w:shd w:val="clear" w:color="auto" w:fill="FFFFFF"/>
        </w:rPr>
        <w:t>“</w:t>
      </w:r>
      <w:r>
        <w:rPr>
          <w:rFonts w:hint="eastAsia" w:hAnsi="仿宋"/>
        </w:rPr>
        <w:t>现代农业+旅游”产业格局。示范区要着力挖掘现代农业的田园观光、农耕体验、文化休闲、科普教育、富硒长寿、健康养生等多种功能，推进农业博物馆、科普基地、田园综合体、等新业态的应用和展示示范，打造一批休闲农业与乡村旅游重点项目，建设一批农业体验型、民俗文化型、生态休闲型农业示范区，打造一批民俗节庆、主题民宿、特色产业、品牌餐饮等旅游产品，开发骑行慢道、湖畔垂钓、农业体验等多种乡村旅游娱乐休闲产品，促进</w:t>
      </w:r>
      <w:r>
        <w:rPr>
          <w:rFonts w:hint="eastAsia" w:hAnsi="仿宋"/>
          <w:szCs w:val="32"/>
          <w:shd w:val="clear" w:color="auto" w:fill="FFFFFF"/>
        </w:rPr>
        <w:t>“</w:t>
      </w:r>
      <w:r>
        <w:rPr>
          <w:rFonts w:hint="eastAsia" w:hAnsi="仿宋"/>
        </w:rPr>
        <w:t>现代农业+旅游”的融合发展。</w:t>
      </w:r>
    </w:p>
    <w:p>
      <w:pPr>
        <w:ind w:firstLine="640"/>
        <w:rPr>
          <w:rFonts w:hAnsi="仿宋"/>
        </w:rPr>
      </w:pPr>
    </w:p>
    <w:p>
      <w:pPr>
        <w:pStyle w:val="5"/>
        <w:spacing w:line="240" w:lineRule="auto"/>
        <w:ind w:firstLine="643"/>
        <w:rPr>
          <w:rFonts w:hAnsi="仿宋"/>
        </w:rPr>
      </w:pPr>
      <w:r>
        <w:rPr>
          <w:rFonts w:hint="eastAsia" w:hAnsi="仿宋"/>
        </w:rPr>
        <w:t>三、推动示范区社会化服务多元化发展</w:t>
      </w:r>
    </w:p>
    <w:p>
      <w:pPr>
        <w:ind w:firstLine="640"/>
        <w:rPr>
          <w:rFonts w:hAnsi="仿宋"/>
        </w:rPr>
      </w:pPr>
      <w:r>
        <w:rPr>
          <w:rFonts w:hint="eastAsia" w:hAnsi="仿宋"/>
        </w:rPr>
        <w:t>鼓励各类服务组织加强联合合作，推动服务链条横向拓展、纵向延伸，促进各主体多元互动、功能互补、融合发展。引导各类服务主体围绕示范区主导产业生产，以资金、技术、服务等要素为纽带，积极发展服务联合体、服务联盟等新型组织形式，打造一体化的示范区服务组织体系。推动示范区社会化服务规范发展，加强农业生产性服务行业管理，切实保护小农户利益；发挥公益性服务机构引领带动作用，积极开展农业市场信息、农资供应、绿色生产技术、农业废弃物资源化利用、农机作业及维修、农产品加工和营销服务，主动融入农业生产全过程。加强服务组织动态监测，支持地方探索建立社会化服务组织名录库，推动服务组织信用记录建设。</w:t>
      </w:r>
    </w:p>
    <w:p>
      <w:pPr>
        <w:pStyle w:val="5"/>
        <w:spacing w:line="240" w:lineRule="auto"/>
        <w:ind w:firstLine="643"/>
        <w:rPr>
          <w:rFonts w:hAnsi="仿宋"/>
        </w:rPr>
      </w:pPr>
      <w:r>
        <w:rPr>
          <w:rFonts w:hint="eastAsia" w:hAnsi="仿宋"/>
        </w:rPr>
        <w:t>四、加快推进钦州海洋牧场建设</w:t>
      </w:r>
    </w:p>
    <w:p>
      <w:pPr>
        <w:spacing w:after="292" w:afterLines="50"/>
        <w:ind w:firstLine="640"/>
        <w:rPr>
          <w:rFonts w:hAnsi="仿宋"/>
          <w:sz w:val="28"/>
        </w:rPr>
      </w:pPr>
      <w:r>
        <w:rPr>
          <w:rFonts w:hint="eastAsia" w:hAnsi="仿宋"/>
        </w:rPr>
        <w:t>以国家建设</w:t>
      </w:r>
      <w:r>
        <w:rPr>
          <w:rFonts w:hint="eastAsia" w:hAnsi="仿宋"/>
          <w:szCs w:val="32"/>
          <w:shd w:val="clear" w:color="auto" w:fill="FFFFFF"/>
        </w:rPr>
        <w:t>“</w:t>
      </w:r>
      <w:r>
        <w:rPr>
          <w:rFonts w:hint="eastAsia" w:hAnsi="仿宋"/>
        </w:rPr>
        <w:t>海洋强国”、广西建设</w:t>
      </w:r>
      <w:r>
        <w:rPr>
          <w:rFonts w:hint="eastAsia" w:hAnsi="仿宋"/>
          <w:szCs w:val="32"/>
          <w:shd w:val="clear" w:color="auto" w:fill="FFFFFF"/>
        </w:rPr>
        <w:t>“</w:t>
      </w:r>
      <w:r>
        <w:rPr>
          <w:rFonts w:hint="eastAsia" w:hAnsi="仿宋"/>
        </w:rPr>
        <w:t>海洋强区”和钦州市建设</w:t>
      </w:r>
      <w:r>
        <w:rPr>
          <w:rFonts w:hint="eastAsia" w:hAnsi="仿宋"/>
          <w:szCs w:val="32"/>
          <w:shd w:val="clear" w:color="auto" w:fill="FFFFFF"/>
        </w:rPr>
        <w:t>“</w:t>
      </w:r>
      <w:r>
        <w:rPr>
          <w:rFonts w:hint="eastAsia" w:hAnsi="仿宋"/>
        </w:rPr>
        <w:t>海洋强市”为契机，以“绿色兴渔、创新强渔、协调惠渔、共享富渔、开放助渔”渔业发展理念为引领，以促进近海绿色发展、渔业转方式调结构、提质增效、富裕渔民为目标，以高效建设、生态保护、适度开发、渔业转型为方向，以保护钦州海洋渔业资源和生态环境为前提，以人工鱼礁和海藻场为载体、底播增殖为手段、增殖放流为补充，积极发展休闲渔业和增殖渔业，带动他产业发展，高起点、高标准地规划和建设钦州市海洋牧场，推进以海洋牧场建设为主要形式的区域性综合开发，使之成为钦州渔业持续健康发展的重要支撑和推动力量。钦州市海洋牧场重点开展海上救灾管护与垂钓平台建设、休闲渔业船艇配置和休闲渔业基地建设，发展养殖产业，开发休闲垂钓、人工鱼礁潜水观光、海产采尝、海景观光、赶海体验、贝类文化体验、跟船体验和海上运动等休闲渔业项目，创造大量渔民就业岗位，推进减船转产，促进海洋经济增长，建成渔民转产增收休闲渔业园。</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spacing w:line="240" w:lineRule="auto"/>
              <w:ind w:firstLine="0" w:firstLineChars="0"/>
              <w:jc w:val="center"/>
              <w:rPr>
                <w:rFonts w:hAnsi="仿宋" w:cstheme="minorBidi"/>
                <w:b/>
                <w:szCs w:val="22"/>
              </w:rPr>
            </w:pPr>
            <w:r>
              <w:rPr>
                <w:rFonts w:hint="eastAsia" w:hAnsi="仿宋" w:cs="黑体"/>
                <w:b/>
                <w:szCs w:val="28"/>
              </w:rPr>
              <w:t>专栏4 示范区三产融合重点工程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ind w:firstLine="562"/>
              <w:rPr>
                <w:rFonts w:hAnsi="仿宋"/>
                <w:sz w:val="28"/>
                <w:szCs w:val="22"/>
              </w:rPr>
            </w:pPr>
            <w:r>
              <w:rPr>
                <w:rFonts w:hint="eastAsia" w:hAnsi="仿宋" w:cs="黑体"/>
                <w:b/>
                <w:sz w:val="28"/>
                <w:szCs w:val="22"/>
              </w:rPr>
              <w:t>农产品加工提升工程</w:t>
            </w:r>
            <w:r>
              <w:rPr>
                <w:rFonts w:hint="eastAsia" w:hAnsi="仿宋"/>
                <w:b/>
                <w:sz w:val="28"/>
                <w:szCs w:val="22"/>
              </w:rPr>
              <w:t>：</w:t>
            </w:r>
            <w:r>
              <w:rPr>
                <w:rFonts w:hint="eastAsia" w:hAnsi="仿宋"/>
                <w:sz w:val="28"/>
                <w:szCs w:val="22"/>
              </w:rPr>
              <w:t>每年安排专项资金重点支持提升示范区农产品加工水平。培育引导农产品加工龙头企业，发展农产品初加工设施建设，推动农产品初加工设施装备升级改造；加快农产品精深加工技术研发和成果转化，推进农产品精深加工的新技术、新工艺和新设备的应用。重点打造</w:t>
            </w:r>
            <w:r>
              <w:rPr>
                <w:rFonts w:hAnsi="仿宋"/>
                <w:sz w:val="28"/>
                <w:szCs w:val="22"/>
              </w:rPr>
              <w:t>灵山县龙武农产品集聚区项目、灵山县十里工业园农产品加工集聚区建设项目</w:t>
            </w:r>
            <w:r>
              <w:rPr>
                <w:rFonts w:hint="eastAsia" w:hAnsi="仿宋"/>
                <w:sz w:val="28"/>
                <w:szCs w:val="22"/>
              </w:rPr>
              <w:t>、浦北县龙门镇农产品加工产业园项目</w:t>
            </w:r>
            <w:r>
              <w:rPr>
                <w:rFonts w:hAnsi="仿宋"/>
                <w:sz w:val="28"/>
                <w:szCs w:val="22"/>
              </w:rPr>
              <w:t>。</w:t>
            </w:r>
          </w:p>
          <w:p>
            <w:pPr>
              <w:ind w:firstLine="562"/>
              <w:rPr>
                <w:rFonts w:hAnsi="仿宋"/>
                <w:sz w:val="28"/>
                <w:szCs w:val="22"/>
              </w:rPr>
            </w:pPr>
            <w:r>
              <w:rPr>
                <w:rFonts w:hint="eastAsia" w:hAnsi="仿宋" w:cs="黑体"/>
                <w:b/>
                <w:sz w:val="28"/>
                <w:szCs w:val="22"/>
              </w:rPr>
              <w:t>田园综合体建设工程：</w:t>
            </w:r>
            <w:r>
              <w:rPr>
                <w:rFonts w:hint="eastAsia" w:hAnsi="仿宋"/>
                <w:sz w:val="28"/>
                <w:szCs w:val="22"/>
              </w:rPr>
              <w:t>以自治区现代特色农业示范区为主体，建设一批集田园观光、休闲娱乐、健康养生、科普教育等为一体的田园综合体。</w:t>
            </w:r>
          </w:p>
          <w:p>
            <w:pPr>
              <w:spacing w:line="240" w:lineRule="auto"/>
              <w:ind w:firstLine="562"/>
              <w:rPr>
                <w:rFonts w:hAnsi="仿宋"/>
                <w:sz w:val="28"/>
                <w:szCs w:val="22"/>
              </w:rPr>
            </w:pPr>
            <w:r>
              <w:rPr>
                <w:rFonts w:hint="eastAsia" w:hAnsi="仿宋" w:cs="黑体"/>
                <w:b/>
                <w:sz w:val="28"/>
                <w:szCs w:val="22"/>
              </w:rPr>
              <w:t>休闲农业精品工程：</w:t>
            </w:r>
            <w:r>
              <w:rPr>
                <w:rFonts w:hint="eastAsia" w:hAnsi="仿宋"/>
                <w:sz w:val="28"/>
                <w:szCs w:val="22"/>
              </w:rPr>
              <w:t>依托休闲农业类示范区，建设一批设施完备、功能多样的康养基地、乡村民宿、星级农家乐、特色农庄，促进示范区三产融合发展水平显著提升。</w:t>
            </w:r>
          </w:p>
          <w:p>
            <w:pPr>
              <w:spacing w:line="240" w:lineRule="auto"/>
              <w:ind w:firstLine="560"/>
              <w:rPr>
                <w:rFonts w:hAnsi="仿宋"/>
                <w:sz w:val="28"/>
                <w:szCs w:val="22"/>
              </w:rPr>
            </w:pPr>
            <w:r>
              <w:rPr>
                <w:rFonts w:hAnsi="仿宋"/>
                <w:sz w:val="28"/>
                <w:szCs w:val="22"/>
              </w:rPr>
              <w:t>依托烟霞山丹霞地貌以及烟墩大鼓、太平杨梅、沙坪小吃等自然、人文资源和特色产业，引导竹编工业、食品加工等传统产业升级，重点培育发展民俗文化、产品加工、生态旅游等产业。</w:t>
            </w:r>
          </w:p>
          <w:p>
            <w:pPr>
              <w:ind w:firstLine="562"/>
              <w:rPr>
                <w:rFonts w:hAnsi="仿宋"/>
                <w:sz w:val="28"/>
              </w:rPr>
            </w:pPr>
            <w:r>
              <w:rPr>
                <w:rFonts w:hint="eastAsia" w:hAnsi="仿宋" w:cs="黑体"/>
                <w:b/>
                <w:sz w:val="28"/>
                <w:szCs w:val="22"/>
              </w:rPr>
              <w:t>海洋牧场建设工程：</w:t>
            </w:r>
            <w:r>
              <w:rPr>
                <w:rFonts w:hint="eastAsia" w:hAnsi="仿宋"/>
                <w:sz w:val="28"/>
              </w:rPr>
              <w:t>以新建游钓休闲与交通船方式、以整合渔船改造升级为休闲渔船方式，实现</w:t>
            </w:r>
            <w:r>
              <w:rPr>
                <w:rFonts w:hAnsi="仿宋"/>
                <w:sz w:val="28"/>
              </w:rPr>
              <w:t>100</w:t>
            </w:r>
            <w:r>
              <w:rPr>
                <w:rFonts w:hint="eastAsia" w:hAnsi="仿宋"/>
                <w:sz w:val="28"/>
              </w:rPr>
              <w:t>艘游钓休闲渔船在项目涉及海域内运营；建设小型方形海上救灾管护与垂钓浮式平台</w:t>
            </w:r>
            <w:r>
              <w:rPr>
                <w:rFonts w:hAnsi="仿宋"/>
                <w:sz w:val="28"/>
              </w:rPr>
              <w:t>4</w:t>
            </w:r>
            <w:r>
              <w:rPr>
                <w:rFonts w:hint="eastAsia" w:hAnsi="仿宋"/>
                <w:sz w:val="28"/>
              </w:rPr>
              <w:t>个、海洋牧场在线自动监控系统</w:t>
            </w:r>
            <w:r>
              <w:rPr>
                <w:rFonts w:hAnsi="仿宋"/>
                <w:sz w:val="28"/>
              </w:rPr>
              <w:t>4</w:t>
            </w:r>
            <w:r>
              <w:rPr>
                <w:rFonts w:hint="eastAsia" w:hAnsi="仿宋"/>
                <w:sz w:val="28"/>
              </w:rPr>
              <w:t>套；开发休闲垂钓、人工鱼礁潜水观光、海鲜采尝、海景观光、跟船体验和海上运动的“离岸休闲垂钓”等项目。</w:t>
            </w:r>
          </w:p>
        </w:tc>
      </w:tr>
    </w:tbl>
    <w:p>
      <w:pPr>
        <w:pStyle w:val="4"/>
        <w:spacing w:before="292" w:beforeLines="50" w:after="292" w:afterLines="50"/>
      </w:pPr>
      <w:bookmarkStart w:id="20" w:name="_Toc119667495"/>
      <w:r>
        <w:rPr>
          <w:rFonts w:hint="eastAsia"/>
        </w:rPr>
        <w:t>第五节 培育新型经营主体，加快构建示范区经营体系</w:t>
      </w:r>
      <w:bookmarkEnd w:id="20"/>
    </w:p>
    <w:p>
      <w:pPr>
        <w:pStyle w:val="5"/>
        <w:spacing w:line="240" w:lineRule="auto"/>
        <w:ind w:firstLine="643"/>
        <w:rPr>
          <w:rFonts w:hAnsi="仿宋"/>
        </w:rPr>
      </w:pPr>
      <w:r>
        <w:rPr>
          <w:rFonts w:hint="eastAsia" w:hAnsi="仿宋"/>
        </w:rPr>
        <w:t>一、壮大示范区经营主体，培育引领龙头企业</w:t>
      </w:r>
    </w:p>
    <w:p>
      <w:pPr>
        <w:spacing w:line="240" w:lineRule="auto"/>
        <w:ind w:firstLine="640"/>
        <w:rPr>
          <w:rFonts w:hAnsi="仿宋"/>
        </w:rPr>
      </w:pPr>
      <w:r>
        <w:rPr>
          <w:rFonts w:hint="eastAsia" w:hAnsi="仿宋"/>
        </w:rPr>
        <w:t>实施新型农业示范区经营主体培育工程，进一步强化示范区龙头企业、合作社和家庭农场等经营主体地位，改变以前示范区多是农户单独经营、没有龙头企业引领的尴尬窘境。</w:t>
      </w:r>
      <w:r>
        <w:rPr>
          <w:rFonts w:hint="eastAsia" w:hAnsi="仿宋"/>
          <w:szCs w:val="32"/>
          <w:shd w:val="clear" w:color="auto" w:fill="FFFFFF"/>
        </w:rPr>
        <w:t>实施示范区龙头企业成长倍增计划，</w:t>
      </w:r>
      <w:r>
        <w:rPr>
          <w:rFonts w:hint="eastAsia" w:hAnsi="仿宋"/>
        </w:rPr>
        <w:t>建立示范区龙头企业梯次发展机制，强化科技人才支撑、加大财税支持力度、优化金融服务号和企业营商环境，鼓励示范区农业龙头企业加快技术开发、创新，改进加工工艺，不断提高农产品生产、精深加工水平，着力培育一批科技含量高、产业关联度大、带动能力强的示范区农业龙头企业，引进一批产业链完整、品牌影响力大、市场竞争力强的国家级龙头企业、自治区级龙企业。对具有发展潜力的农业企业（尤其是农产品加工企业）进行重点扶持，引导农业企业组建大型企业集团，构建“产供销一体化、产加销一条龙”的经营模式，延长产业链和价值链。进一步发挥农业企业、农民合作社、家庭农场和经营大户等新型农业经营主体在农产品品牌建设中的主体作用，推进农民合作社、家庭农场健全管理制度、财务管理制度、利益联结机制，鼓励农民合作社、家庭农场壮大优势特色产业，培育农业品牌，加强农产品加工、仓储物流、技术指导、市场营销等关键环节能力建设，引导合作社、家庭农场延伸产业链条，拓宽服务领域。同时支持小农户通过订单农业、入股分红、托管服务、代耕代种等方式融入示范区建设，提高广大农民群众的增值收益。</w:t>
      </w:r>
    </w:p>
    <w:p>
      <w:pPr>
        <w:pStyle w:val="5"/>
        <w:spacing w:line="240" w:lineRule="auto"/>
        <w:ind w:firstLine="643"/>
        <w:rPr>
          <w:rFonts w:hAnsi="仿宋"/>
        </w:rPr>
      </w:pPr>
      <w:r>
        <w:rPr>
          <w:rFonts w:hint="eastAsia" w:hAnsi="仿宋"/>
        </w:rPr>
        <w:t>二、促进示范区多元主体融合发展</w:t>
      </w:r>
    </w:p>
    <w:p>
      <w:pPr>
        <w:spacing w:line="240" w:lineRule="auto"/>
        <w:ind w:firstLine="640"/>
        <w:rPr>
          <w:rFonts w:hAnsi="仿宋"/>
        </w:rPr>
      </w:pPr>
      <w:r>
        <w:rPr>
          <w:rFonts w:hint="eastAsia" w:hAnsi="仿宋"/>
        </w:rPr>
        <w:t>引导示范区农业龙头企业、农业合作社、家庭农场等多主体协同发展，探索适合示范区农业合作发展路径。实施“抓大带小”的经营主体融合发展战略，促进示范区开展多种产业化经营模式，大力推广“龙头企业+合作社+农户”的利益联结方式，推动“企业+基地”、“企业+合作社+农户”、“企业+基地+农户”、“公司+家庭农场”等产业化经营模式发展，提高经营主体收入，以现代特色农业示范区为引领，提升钦州市现代农业产业化水平。鼓励新型经营主体通过接包、租赁、专业合作、股份合作、土地托管等形式发展连片适度规模经营，支持农民以承包土地入股等形式与企业进行合作，整体推进农业经营体系向集约化经营发展。加大示范区经营主体政策扶持力度，壮大经营主体队伍，引导示范区龙头企业采取订单带动、利润返还、股份合作等形式，与农民合作社、家庭农场、专业大户建立利益联结机制，培育示范区农业产业化联合体，推动家庭经营、集体经营、合作经营、企业经营协调发展，促进多元经营主体融合。</w:t>
      </w:r>
    </w:p>
    <w:p>
      <w:pPr>
        <w:pStyle w:val="5"/>
        <w:spacing w:line="240" w:lineRule="auto"/>
        <w:ind w:firstLine="643"/>
        <w:rPr>
          <w:rFonts w:hAnsi="仿宋"/>
        </w:rPr>
      </w:pPr>
      <w:r>
        <w:rPr>
          <w:rFonts w:hint="eastAsia" w:hAnsi="仿宋"/>
        </w:rPr>
        <w:t>三、构建新型助农服务体系</w:t>
      </w:r>
    </w:p>
    <w:p>
      <w:pPr>
        <w:spacing w:after="292" w:afterLines="50" w:line="240" w:lineRule="auto"/>
        <w:ind w:firstLine="640"/>
        <w:rPr>
          <w:rFonts w:hAnsi="仿宋" w:cs="仿宋_GB2312"/>
        </w:rPr>
      </w:pPr>
      <w:r>
        <w:rPr>
          <w:rFonts w:hint="eastAsia" w:hAnsi="仿宋" w:cs="仿宋_GB2312"/>
        </w:rPr>
        <w:t>依托钦州市设立“市-县（区）-乡（镇）-村”四级一体的农村产权交易市场体系，围绕示范区农业龙头企业、农业合作社、家庭农场等各类农业经营主体，搭建助农服务综合平台，打造集生产、供销、信用合作于一体的市、县（区）、乡（镇）、村四级助农服务平台，开展示范区农资农技、农业机械、农产品购销加工、冷链物流配送等服务，逐步拓展农产品电商、农业金融保险、数字农业、休闲农业等业务，形成覆盖产前产中产后的完备服务体系。引进整合供销、信用合作、产权交易、专业协会等服务资源，推动建立生产、供销、信用“三位一体”的综合服务模式，大力为示范区农户和规模经营主体提供小额贷款、农业保险经纪、资金互助、融资租赁等全方位综合服务。</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6" w:hRule="atLeast"/>
        </w:trPr>
        <w:tc>
          <w:tcPr>
            <w:tcW w:w="9230" w:type="dxa"/>
          </w:tcPr>
          <w:p>
            <w:pPr>
              <w:spacing w:line="240" w:lineRule="auto"/>
              <w:ind w:firstLine="643"/>
              <w:jc w:val="center"/>
              <w:rPr>
                <w:rFonts w:hAnsi="仿宋" w:cstheme="minorBidi"/>
                <w:b/>
                <w:szCs w:val="22"/>
              </w:rPr>
            </w:pPr>
            <w:r>
              <w:rPr>
                <w:rFonts w:hint="eastAsia" w:hAnsi="仿宋" w:cs="黑体"/>
                <w:b/>
                <w:szCs w:val="28"/>
              </w:rPr>
              <w:t>专栏5 示范区现代化农业经营重点工程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ind w:firstLine="562"/>
              <w:rPr>
                <w:rFonts w:hAnsi="仿宋"/>
                <w:sz w:val="28"/>
                <w:szCs w:val="22"/>
              </w:rPr>
            </w:pPr>
            <w:r>
              <w:rPr>
                <w:rFonts w:hint="eastAsia" w:hAnsi="仿宋" w:cs="黑体"/>
                <w:b/>
                <w:sz w:val="28"/>
                <w:szCs w:val="28"/>
              </w:rPr>
              <w:t>示范区经营主体提升工程</w:t>
            </w:r>
            <w:r>
              <w:rPr>
                <w:rFonts w:hint="eastAsia" w:hAnsi="仿宋" w:cstheme="minorBidi"/>
                <w:b/>
                <w:sz w:val="28"/>
                <w:szCs w:val="28"/>
              </w:rPr>
              <w:t>：</w:t>
            </w:r>
            <w:r>
              <w:rPr>
                <w:rFonts w:hint="eastAsia" w:hAnsi="仿宋"/>
                <w:sz w:val="28"/>
                <w:szCs w:val="22"/>
              </w:rPr>
              <w:t>改变以前多是农户单独经营的状况，构建集约化、专业化、组织化、社会化相结合的新型农业经营体系，发展多种形式规模经营，推动示范区农业产业化龙头企业做强做优、农民合作社提质增效、家庭农场规范健康发展。支持小农户通过多种方式融入示范区建设。加强政策扶持，以示范区为平台，打造创建一批国家级、自治区级示范经营主体。</w:t>
            </w:r>
          </w:p>
          <w:p>
            <w:pPr>
              <w:ind w:firstLine="562"/>
              <w:rPr>
                <w:rFonts w:hAnsi="仿宋" w:cstheme="minorBidi"/>
                <w:sz w:val="28"/>
                <w:szCs w:val="28"/>
              </w:rPr>
            </w:pPr>
            <w:r>
              <w:rPr>
                <w:rFonts w:hint="eastAsia" w:hAnsi="仿宋" w:cs="黑体"/>
                <w:b/>
                <w:sz w:val="28"/>
                <w:szCs w:val="28"/>
              </w:rPr>
              <w:t>农业产业化联合体培育工程</w:t>
            </w:r>
            <w:r>
              <w:rPr>
                <w:rFonts w:hint="eastAsia" w:hAnsi="仿宋" w:cstheme="minorBidi"/>
                <w:b/>
                <w:sz w:val="28"/>
                <w:szCs w:val="28"/>
              </w:rPr>
              <w:t>：</w:t>
            </w:r>
            <w:r>
              <w:rPr>
                <w:rFonts w:hint="eastAsia" w:hAnsi="仿宋"/>
                <w:sz w:val="28"/>
                <w:szCs w:val="22"/>
              </w:rPr>
              <w:t>加大示范区内农业产业化联合体创建扶持力度，打造一批以农业龙头企业为引领、以合作社为纽带、以家庭农场为基础的农业产业化联合体，实行种养+产销一体化经营。</w:t>
            </w:r>
          </w:p>
          <w:p>
            <w:pPr>
              <w:ind w:firstLine="562"/>
              <w:rPr>
                <w:rFonts w:hAnsi="仿宋" w:cstheme="minorBidi"/>
                <w:sz w:val="24"/>
              </w:rPr>
            </w:pPr>
            <w:r>
              <w:rPr>
                <w:rFonts w:hint="eastAsia" w:hAnsi="仿宋" w:cs="黑体"/>
                <w:b/>
                <w:sz w:val="28"/>
                <w:szCs w:val="28"/>
              </w:rPr>
              <w:t>新型助农服务体系建设工程：</w:t>
            </w:r>
            <w:r>
              <w:rPr>
                <w:rFonts w:hint="eastAsia" w:hAnsi="仿宋"/>
                <w:sz w:val="28"/>
                <w:szCs w:val="22"/>
              </w:rPr>
              <w:t>推进新型乡村助农服务体系建设打造集生产、供销、信用合作于一体的市—县（区）—乡（镇）—村四级助农服务平台。到2025年，助农服务综合平台经营服务覆盖所有示范区。</w:t>
            </w:r>
          </w:p>
        </w:tc>
      </w:tr>
    </w:tbl>
    <w:p>
      <w:pPr>
        <w:ind w:firstLine="640"/>
      </w:pPr>
    </w:p>
    <w:p>
      <w:pPr>
        <w:pStyle w:val="4"/>
        <w:spacing w:after="292" w:afterLines="50" w:line="240" w:lineRule="auto"/>
      </w:pPr>
      <w:bookmarkStart w:id="21" w:name="_Toc119667496"/>
      <w:r>
        <w:rPr>
          <w:rFonts w:hint="eastAsia"/>
        </w:rPr>
        <w:t>第六节 构建四级品牌体系，推动示范区产销一体化发展</w:t>
      </w:r>
      <w:bookmarkEnd w:id="21"/>
    </w:p>
    <w:p>
      <w:pPr>
        <w:pStyle w:val="5"/>
        <w:spacing w:line="240" w:lineRule="auto"/>
        <w:ind w:firstLine="643"/>
        <w:rPr>
          <w:rFonts w:hAnsi="仿宋"/>
          <w:b w:val="0"/>
        </w:rPr>
      </w:pPr>
      <w:r>
        <w:rPr>
          <w:rFonts w:hint="eastAsia" w:hAnsi="仿宋"/>
        </w:rPr>
        <w:t>一、构建示范区四级品牌体系</w:t>
      </w:r>
    </w:p>
    <w:p>
      <w:pPr>
        <w:spacing w:line="240" w:lineRule="auto"/>
        <w:ind w:firstLine="640"/>
        <w:rPr>
          <w:rFonts w:hAnsi="仿宋"/>
        </w:rPr>
      </w:pPr>
      <w:r>
        <w:rPr>
          <w:rFonts w:hint="eastAsia" w:hAnsi="仿宋"/>
        </w:rPr>
        <w:t>立足钦州农业资源禀赋，大力开发“名特优新稀”农产品，不断优化示范区农业产品结构和产业结构，着力培育一批品质优异、科技含量高、市场竞争力强的农产品品牌，构建示范区农业行业品牌、区域公用品牌、企业品牌和产品品牌的四级品牌体系。一是通过“政府搭台、企业唱戏、合作共赢”的工作模式，做到“人无我有、人有我优、人优我特”，整合钦州市优势特色农业资源，打造覆盖“10+3”产业等钦州市农产品的农业行业品牌。二是在市场化和品牌化经营过程中，由市场催生和行业簇生出“钦州大蚝、灵山荔枝”等区域公用品牌；三是以浦北黑猪等企业经营的区域公用品牌为抓手，构建各企业品牌（核心）。四是以“浦黑大帅”黑猪、“龙武”荔枝等为主导的各龙头企业或合作社，自身生产发展过程中的开发打造的系列产品。探索建立农业四级品牌授权认证制度，全面提升农业四级品牌标准化、规范化管理水平，提升钦州市农业品牌公信力。</w:t>
      </w:r>
    </w:p>
    <w:p>
      <w:pPr>
        <w:pStyle w:val="5"/>
        <w:spacing w:line="240" w:lineRule="auto"/>
        <w:ind w:firstLine="643"/>
        <w:rPr>
          <w:rFonts w:hAnsi="仿宋"/>
          <w:b w:val="0"/>
        </w:rPr>
      </w:pPr>
      <w:r>
        <w:rPr>
          <w:rFonts w:hint="eastAsia" w:hAnsi="仿宋"/>
        </w:rPr>
        <w:t>二、高标准推进品牌强农战略</w:t>
      </w:r>
    </w:p>
    <w:p>
      <w:pPr>
        <w:spacing w:line="240" w:lineRule="auto"/>
        <w:ind w:firstLine="640"/>
        <w:rPr>
          <w:rFonts w:hAnsi="仿宋"/>
        </w:rPr>
      </w:pPr>
      <w:r>
        <w:rPr>
          <w:rFonts w:hint="eastAsia" w:hAnsi="仿宋"/>
        </w:rPr>
        <w:t>建立和完善农产品品牌培育、发展和保护体系，形成“培育品牌、发展品牌、运用品牌、宣传品牌、保护品牌”的工作机制，打造标准化生产、产业化经营、品牌化营销的品牌农业发展格局，逐步提高品牌农业经济总量，示范区要对接绿色标准、有机标准、供港标准、圳品标准等，深入实施品牌强农提升计划，重点打造一批中国驰名商标、广西著名商标。按照有标采标、无标创标、全程贯标要求，坚持差异化、特色化品牌发展的思路，以标准化生产为抓手，主打绿色生态、富硒农业牌，推动示范区创建知名品牌，扩大市场影响力，提升示范区综合效益和产品市场竞争力，打响钦州农产品的“钦”字招牌，走出一条符合钦州实际、具有钦州区域特色的示范区品牌强农之路。到</w:t>
      </w:r>
      <w:r>
        <w:rPr>
          <w:rFonts w:hAnsi="仿宋"/>
        </w:rPr>
        <w:t>2025</w:t>
      </w:r>
      <w:r>
        <w:rPr>
          <w:rFonts w:hint="eastAsia" w:hAnsi="仿宋"/>
        </w:rPr>
        <w:t>年，全市“三品一标”认证数新增</w:t>
      </w:r>
      <w:r>
        <w:rPr>
          <w:rFonts w:hAnsi="仿宋"/>
        </w:rPr>
        <w:t>80</w:t>
      </w:r>
      <w:r>
        <w:rPr>
          <w:rFonts w:hint="eastAsia" w:hAnsi="仿宋"/>
        </w:rPr>
        <w:t>个以上、累计达到</w:t>
      </w:r>
      <w:r>
        <w:rPr>
          <w:rFonts w:hAnsi="仿宋"/>
        </w:rPr>
        <w:t>400</w:t>
      </w:r>
      <w:r>
        <w:rPr>
          <w:rFonts w:hint="eastAsia" w:hAnsi="仿宋"/>
        </w:rPr>
        <w:t>个左右，争取钦州农产品区域公用品牌、企业品牌和产品品牌总价值达到</w:t>
      </w:r>
      <w:r>
        <w:rPr>
          <w:rFonts w:hAnsi="仿宋"/>
        </w:rPr>
        <w:t>500</w:t>
      </w:r>
      <w:r>
        <w:rPr>
          <w:rFonts w:hint="eastAsia" w:hAnsi="仿宋"/>
        </w:rPr>
        <w:t>亿元以上。</w:t>
      </w:r>
    </w:p>
    <w:p>
      <w:pPr>
        <w:pStyle w:val="5"/>
        <w:spacing w:line="240" w:lineRule="auto"/>
        <w:ind w:firstLine="643"/>
        <w:rPr>
          <w:rFonts w:hAnsi="仿宋"/>
          <w:b w:val="0"/>
        </w:rPr>
      </w:pPr>
      <w:r>
        <w:rPr>
          <w:rFonts w:hint="eastAsia" w:hAnsi="仿宋"/>
        </w:rPr>
        <w:t>三、构建线上线下产销平台</w:t>
      </w:r>
    </w:p>
    <w:p>
      <w:pPr>
        <w:spacing w:line="240" w:lineRule="auto"/>
        <w:ind w:firstLine="640"/>
        <w:rPr>
          <w:rFonts w:hAnsi="仿宋"/>
        </w:rPr>
      </w:pPr>
      <w:r>
        <w:rPr>
          <w:rFonts w:hint="eastAsia" w:hAnsi="仿宋"/>
        </w:rPr>
        <w:t>坚持政府引导、龙头企业主导、农民合作社等各大经营主体积极参与的原则，鼓励示范区经营主体参与自治区乃至外省组织举办的展销会、对接会、推介会、品鉴会，持续开展品牌宣传推介行动，推动核心品牌“进商超、进酒店、进景区”。搭建农业品牌宣传推介平台，整合钦州市媒体资源，实行打包营销战略，加强区域公共品牌宣传推介。以市场需求为导向，支持鼓励电商进驻示范区，拓宽一条“店商”与“电商”相结合的钦州农产品营销渠道。利用阿里巴巴、京东等国内外知名电子商务平台，促进钦州农产品品牌网上销售，积极发展村镇O2O电商平台、供销e家、顺路发农村土货线上订制平台等。按照“统一规划、统一形象、统一推介”的要求，逐步在全国有关重点城市设立钦州农产品品牌展示展销中心，进一步拓宽钦州农产品品牌营销渠道。</w:t>
      </w:r>
    </w:p>
    <w:p>
      <w:pPr>
        <w:ind w:firstLine="640"/>
      </w:pPr>
    </w:p>
    <w:p>
      <w:pPr>
        <w:ind w:firstLine="640"/>
      </w:pP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spacing w:line="240" w:lineRule="auto"/>
              <w:ind w:firstLine="643"/>
              <w:jc w:val="center"/>
              <w:rPr>
                <w:rFonts w:ascii="仿宋_GB2312" w:cstheme="minorBidi"/>
                <w:b/>
                <w:szCs w:val="22"/>
              </w:rPr>
            </w:pPr>
            <w:r>
              <w:rPr>
                <w:rFonts w:hint="eastAsia" w:ascii="仿宋_GB2312" w:hAnsi="黑体" w:cs="黑体"/>
                <w:b/>
                <w:szCs w:val="28"/>
              </w:rPr>
              <w:t>专栏6 示范区农业品牌建设重点工程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widowControl/>
              <w:spacing w:line="240" w:lineRule="auto"/>
              <w:ind w:firstLine="562"/>
              <w:jc w:val="left"/>
              <w:rPr>
                <w:rFonts w:ascii="宋体" w:hAnsi="宋体" w:eastAsia="宋体" w:cs="宋体"/>
                <w:kern w:val="0"/>
                <w:sz w:val="24"/>
              </w:rPr>
            </w:pPr>
            <w:r>
              <w:rPr>
                <w:rFonts w:hint="eastAsia" w:ascii="仿宋_GB2312" w:hAnsi="黑体" w:cs="黑体"/>
                <w:b/>
                <w:sz w:val="28"/>
                <w:szCs w:val="22"/>
              </w:rPr>
              <w:t>农业品牌提升工程：</w:t>
            </w:r>
            <w:r>
              <w:rPr>
                <w:rFonts w:hint="eastAsia" w:ascii="仿宋_GB2312" w:hAnsi="仿宋_GB2312" w:cs="仿宋_GB2312"/>
                <w:sz w:val="28"/>
                <w:szCs w:val="22"/>
              </w:rPr>
              <w:t>建立一批钦州市示范区农业品牌监管保护政策措施，构建农业行业品牌、区域公用品牌、企业品牌和产品品牌的四级品牌体系。扶持壮大</w:t>
            </w:r>
            <w:r>
              <w:rPr>
                <w:rFonts w:hint="eastAsia" w:ascii="仿宋_GB2312" w:hAnsi="宋体" w:eastAsia="仿宋_GB2312" w:cs="宋体"/>
                <w:kern w:val="0"/>
                <w:sz w:val="28"/>
                <w:szCs w:val="28"/>
              </w:rPr>
              <w:t>钦州大蚝、钦州辣椒、钦州黄瓜皮、钦州海红米、钦州石金钱龟、钦州青蟹、钦州鲈鱼、钦州石斑鱼、钦北荔枝、灵山绿茶、灵山荔枝、灵山香鸡、浦北红椎菌、浦北黑猪、浦北黄皮、官垌草鱼、钦州海鸭蛋</w:t>
            </w:r>
            <w:r>
              <w:rPr>
                <w:rFonts w:hint="eastAsia" w:ascii="仿宋_GB2312" w:hAnsi="仿宋_GB2312" w:cs="仿宋_GB2312"/>
                <w:sz w:val="28"/>
                <w:szCs w:val="22"/>
              </w:rPr>
              <w:t>等1</w:t>
            </w:r>
            <w:r>
              <w:rPr>
                <w:rFonts w:ascii="仿宋_GB2312" w:hAnsi="仿宋_GB2312" w:cs="仿宋_GB2312"/>
                <w:sz w:val="28"/>
                <w:szCs w:val="22"/>
              </w:rPr>
              <w:t>7</w:t>
            </w:r>
            <w:r>
              <w:rPr>
                <w:rFonts w:hint="eastAsia" w:ascii="仿宋_GB2312" w:hAnsi="仿宋_GB2312" w:cs="仿宋_GB2312"/>
                <w:sz w:val="28"/>
                <w:szCs w:val="22"/>
              </w:rPr>
              <w:t>个地理标志产品，打造“一区多品”的示范区农产品品牌。鼓励示范区经营主体、相关行业协会（联盟）申请注册集体商标和证明商标（地理标志商标），结合优势特色产业集群打造区域公用品牌。</w:t>
            </w:r>
          </w:p>
          <w:p>
            <w:pPr>
              <w:widowControl/>
              <w:spacing w:line="240" w:lineRule="auto"/>
              <w:ind w:firstLine="562"/>
              <w:jc w:val="left"/>
              <w:rPr>
                <w:rFonts w:ascii="仿宋_GB2312" w:hAnsi="仿宋_GB2312" w:cs="仿宋_GB2312"/>
                <w:sz w:val="28"/>
                <w:szCs w:val="22"/>
              </w:rPr>
            </w:pPr>
            <w:r>
              <w:rPr>
                <w:rFonts w:hint="eastAsia" w:ascii="仿宋_GB2312" w:hAnsi="黑体" w:cs="黑体"/>
                <w:b/>
                <w:sz w:val="28"/>
                <w:szCs w:val="22"/>
              </w:rPr>
              <w:t>“三品一标”培育工程：</w:t>
            </w:r>
            <w:r>
              <w:rPr>
                <w:rFonts w:hint="eastAsia" w:ascii="仿宋_GB2312" w:hAnsi="仿宋_GB2312" w:cs="仿宋_GB2312"/>
                <w:sz w:val="28"/>
                <w:szCs w:val="22"/>
              </w:rPr>
              <w:t>加大政策扶持力度，持续推进示范区“三品一标”认证健康发展，到</w:t>
            </w:r>
            <w:r>
              <w:rPr>
                <w:rFonts w:ascii="仿宋_GB2312" w:hAnsi="仿宋_GB2312" w:cs="仿宋_GB2312"/>
                <w:sz w:val="28"/>
                <w:szCs w:val="22"/>
              </w:rPr>
              <w:t>2025</w:t>
            </w:r>
            <w:r>
              <w:rPr>
                <w:rFonts w:hint="eastAsia" w:ascii="仿宋_GB2312" w:hAnsi="仿宋_GB2312" w:cs="仿宋_GB2312"/>
                <w:sz w:val="28"/>
                <w:szCs w:val="22"/>
              </w:rPr>
              <w:t>年，全市“三品一标”认证数新增</w:t>
            </w:r>
            <w:r>
              <w:rPr>
                <w:rFonts w:ascii="仿宋_GB2312" w:hAnsi="仿宋_GB2312" w:cs="仿宋_GB2312"/>
                <w:sz w:val="28"/>
                <w:szCs w:val="22"/>
              </w:rPr>
              <w:t>80</w:t>
            </w:r>
            <w:r>
              <w:rPr>
                <w:rFonts w:hint="eastAsia" w:ascii="仿宋_GB2312" w:hAnsi="仿宋_GB2312" w:cs="仿宋_GB2312"/>
                <w:sz w:val="28"/>
                <w:szCs w:val="22"/>
              </w:rPr>
              <w:t>个以上、累计达到</w:t>
            </w:r>
            <w:r>
              <w:rPr>
                <w:rFonts w:ascii="仿宋_GB2312" w:hAnsi="仿宋_GB2312" w:cs="仿宋_GB2312"/>
                <w:sz w:val="28"/>
                <w:szCs w:val="22"/>
              </w:rPr>
              <w:t>400</w:t>
            </w:r>
            <w:r>
              <w:rPr>
                <w:rFonts w:hint="eastAsia" w:ascii="仿宋_GB2312" w:hAnsi="仿宋_GB2312" w:cs="仿宋_GB2312"/>
                <w:sz w:val="28"/>
                <w:szCs w:val="22"/>
              </w:rPr>
              <w:t>个左右，争取钦州农产品区域公用品牌、企业品牌和产品品牌总价值达到</w:t>
            </w:r>
            <w:r>
              <w:rPr>
                <w:rFonts w:ascii="仿宋_GB2312" w:hAnsi="仿宋_GB2312" w:cs="仿宋_GB2312"/>
                <w:sz w:val="28"/>
                <w:szCs w:val="22"/>
              </w:rPr>
              <w:t>500</w:t>
            </w:r>
            <w:r>
              <w:rPr>
                <w:rFonts w:hint="eastAsia" w:ascii="仿宋_GB2312" w:hAnsi="仿宋_GB2312" w:cs="仿宋_GB2312"/>
                <w:sz w:val="28"/>
                <w:szCs w:val="22"/>
              </w:rPr>
              <w:t>亿元以上。</w:t>
            </w:r>
          </w:p>
        </w:tc>
      </w:tr>
    </w:tbl>
    <w:p>
      <w:pPr>
        <w:pStyle w:val="4"/>
        <w:spacing w:before="292" w:beforeLines="50" w:after="292" w:afterLines="50" w:line="240" w:lineRule="auto"/>
      </w:pPr>
      <w:bookmarkStart w:id="22" w:name="_Toc119667497"/>
      <w:r>
        <w:rPr>
          <w:rFonts w:hint="eastAsia"/>
        </w:rPr>
        <w:t>第七节 践行绿色发展理念，坚持走可持续发展之路</w:t>
      </w:r>
      <w:bookmarkEnd w:id="22"/>
    </w:p>
    <w:p>
      <w:pPr>
        <w:pStyle w:val="5"/>
        <w:spacing w:line="240" w:lineRule="auto"/>
        <w:ind w:firstLine="643"/>
        <w:rPr>
          <w:rFonts w:hAnsi="仿宋"/>
          <w:b w:val="0"/>
        </w:rPr>
      </w:pPr>
      <w:r>
        <w:rPr>
          <w:rFonts w:hint="eastAsia" w:hAnsi="仿宋"/>
        </w:rPr>
        <w:t>一、深入实施绿色兴农质量强农战略</w:t>
      </w:r>
    </w:p>
    <w:p>
      <w:pPr>
        <w:spacing w:line="240" w:lineRule="auto"/>
        <w:ind w:firstLine="640"/>
        <w:rPr>
          <w:rFonts w:hAnsi="仿宋"/>
        </w:rPr>
      </w:pPr>
      <w:r>
        <w:rPr>
          <w:rFonts w:hint="eastAsia" w:hAnsi="仿宋"/>
        </w:rPr>
        <w:t>深入实施绿色兴农质量强农战略，建设绿色生态农业示范区。按照绿色食品、有机食品标准和国际通行的农业操作规范，深入推广规模化、标准化生产，打好特色牌、生态牌、富硒牌，推动示范区产业向提质增产升级。开展标准化生产创建活动，打造一批果茶林标准园、畜禽标准化示范场、水产健康养殖示范场等标准化示范点，建设各类标准化生产基地。强化示范区“三品一标”农产品认证，全面建立以绿色生态为导向的制度体系，制定修订一批农业地方标准，大力推进绿色食品认证，力争每年新增一批认证农产品及基地。加强农产品质量和食品安全标准体系、农业投入品和农产品质量安全追溯体系建设，构建从田间地头到餐桌的全程监管体系。开展示范区农产品质量安全风险监测和专项监测，监测合格率稳定在1</w:t>
      </w:r>
      <w:r>
        <w:rPr>
          <w:rFonts w:hAnsi="仿宋"/>
        </w:rPr>
        <w:t>00</w:t>
      </w:r>
      <w:r>
        <w:rPr>
          <w:rFonts w:hint="eastAsia" w:hAnsi="仿宋"/>
        </w:rPr>
        <w:t>%。开展“治违禁促提升”行动，严厉查处禁限用农兽药使用及超标问题。加强质检和信用体系建设，落实“黑名单”制度，打造“阳光农安”，提升监管信息化水平。</w:t>
      </w:r>
    </w:p>
    <w:p>
      <w:pPr>
        <w:pStyle w:val="5"/>
        <w:spacing w:line="240" w:lineRule="auto"/>
        <w:ind w:firstLine="643"/>
        <w:rPr>
          <w:rFonts w:hAnsi="仿宋"/>
          <w:b w:val="0"/>
        </w:rPr>
      </w:pPr>
      <w:r>
        <w:rPr>
          <w:rFonts w:hint="eastAsia" w:hAnsi="仿宋"/>
        </w:rPr>
        <w:t>二、大力推行绿色生产方式</w:t>
      </w:r>
    </w:p>
    <w:p>
      <w:pPr>
        <w:spacing w:line="240" w:lineRule="auto"/>
        <w:ind w:firstLine="640"/>
        <w:rPr>
          <w:rFonts w:hAnsi="仿宋"/>
        </w:rPr>
      </w:pPr>
      <w:r>
        <w:rPr>
          <w:rFonts w:hint="eastAsia" w:hAnsi="仿宋"/>
        </w:rPr>
        <w:t>在示范区大力推广测土配方施肥、化肥减量增效、有机肥替代化肥、粪肥无害化还田、秸秆肥料化还田、绿肥种植等节肥措施。积极实施酸性土改良示范项目，持续推进化肥农药减量化；推进农作物病虫害统防统治和绿色防控融合；推进兽用抗菌药使用减量化，推广禽畜生态养殖模式；推动开展水产苗种产地检疫，加强水产养殖用投入品分类监管；加强技术培训和高效低毒农药普及，积极推广精准高效施药、轮换用药技术，稳妥推进淘汰高毒农药。建立部门之间的协同作战机制，共同监管示范区农业生产投入的全过程，不断改善农业生态环境。</w:t>
      </w:r>
    </w:p>
    <w:p>
      <w:pPr>
        <w:pStyle w:val="5"/>
        <w:spacing w:line="240" w:lineRule="auto"/>
        <w:ind w:firstLine="643"/>
        <w:rPr>
          <w:rFonts w:hAnsi="仿宋"/>
          <w:b w:val="0"/>
        </w:rPr>
      </w:pPr>
      <w:r>
        <w:rPr>
          <w:rFonts w:hint="eastAsia" w:hAnsi="仿宋"/>
        </w:rPr>
        <w:t>三、提高示范区资源利用效率</w:t>
      </w:r>
    </w:p>
    <w:p>
      <w:pPr>
        <w:spacing w:after="292" w:afterLines="50" w:line="240" w:lineRule="auto"/>
        <w:ind w:firstLine="640"/>
      </w:pPr>
      <w:r>
        <w:rPr>
          <w:rFonts w:hint="eastAsia" w:hAnsi="仿宋"/>
        </w:rPr>
        <w:t>以大力发展环境友好型农业为目标，全面提高示范区资源利用效率，实现示范区绿色发展，坚持节约优先、保护优先、自然恢复为主，完善市场化、多元化生态补偿机制，推进示范区资源总量管理、科学配置、全面节约、循环利用。推进农作物秸秆综合利用，集中力量在辖区内人口集中区域、交通干线沿线等秸秆焚烧重点区域，因地制宜地选择秸秆综合利用方式，重点实施秸秆就地肥料化机械翻压还田。全面实施农膜、农药包装物回收行动，农膜回收率达到9</w:t>
      </w:r>
      <w:r>
        <w:rPr>
          <w:rFonts w:hAnsi="仿宋"/>
        </w:rPr>
        <w:t>8</w:t>
      </w:r>
      <w:r>
        <w:rPr>
          <w:rFonts w:hint="eastAsia" w:hAnsi="仿宋"/>
        </w:rPr>
        <w:t>%。实行污染耕地分类管理，深入开展农用地安全利用工作；统筹抓好农业农村减排固碳；加强畜禽粪污资源化利用，畜禽粪污综合利用率保持在</w:t>
      </w:r>
      <w:r>
        <w:rPr>
          <w:rFonts w:hAnsi="仿宋"/>
        </w:rPr>
        <w:t>95</w:t>
      </w:r>
      <w:r>
        <w:rPr>
          <w:rFonts w:hint="eastAsia" w:hAnsi="仿宋"/>
        </w:rPr>
        <w:t>%以上。配合做好清理海上禁养区工作，强化水产养殖尾水监测。</w:t>
      </w:r>
    </w:p>
    <w:tbl>
      <w:tblPr>
        <w:tblStyle w:val="24"/>
        <w:tblW w:w="9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30" w:type="dxa"/>
          </w:tcPr>
          <w:p>
            <w:pPr>
              <w:spacing w:line="240" w:lineRule="auto"/>
              <w:ind w:firstLine="643"/>
              <w:jc w:val="center"/>
              <w:rPr>
                <w:rFonts w:ascii="仿宋_GB2312" w:cstheme="minorBidi"/>
                <w:b/>
                <w:szCs w:val="22"/>
              </w:rPr>
            </w:pPr>
            <w:r>
              <w:rPr>
                <w:rFonts w:hint="eastAsia" w:ascii="仿宋_GB2312" w:hAnsi="黑体" w:cs="黑体"/>
                <w:b/>
                <w:szCs w:val="28"/>
              </w:rPr>
              <w:t>专栏7 示范区绿色可持续发展重点工程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9230" w:type="dxa"/>
          </w:tcPr>
          <w:p>
            <w:pPr>
              <w:widowControl/>
              <w:spacing w:line="240" w:lineRule="auto"/>
              <w:ind w:firstLine="562"/>
              <w:jc w:val="left"/>
              <w:rPr>
                <w:rFonts w:ascii="宋体" w:hAnsi="宋体" w:eastAsia="宋体" w:cs="宋体"/>
                <w:kern w:val="0"/>
                <w:sz w:val="24"/>
              </w:rPr>
            </w:pPr>
            <w:r>
              <w:rPr>
                <w:rFonts w:hint="eastAsia" w:ascii="仿宋_GB2312" w:hAnsi="黑体" w:cs="黑体"/>
                <w:b/>
                <w:sz w:val="28"/>
                <w:szCs w:val="22"/>
              </w:rPr>
              <w:t>农产品质量保障工程</w:t>
            </w:r>
            <w:r>
              <w:rPr>
                <w:rFonts w:hint="eastAsia" w:ascii="仿宋_GB2312" w:hAnsi="仿宋_GB2312" w:cs="仿宋_GB2312"/>
                <w:b/>
                <w:sz w:val="28"/>
                <w:szCs w:val="22"/>
              </w:rPr>
              <w:t>：</w:t>
            </w:r>
            <w:r>
              <w:rPr>
                <w:rFonts w:hint="eastAsia" w:ascii="仿宋_GB2312" w:hAnsi="仿宋_GB2312" w:cs="仿宋_GB2312"/>
                <w:sz w:val="28"/>
                <w:szCs w:val="22"/>
              </w:rPr>
              <w:t>以示范区高质量发展契机，以建设粤港澳大湾区农产品供应认证基地为抓手，加强示范区农产品质量和食品安全标准体系、农业投入品和农产品质量安全追溯体系建设，构建特色农产品质量安全标准体系。建立全市统一的追溯管理信息平台、制度规范和技术标准，实现与自治区追溯平台的有效对接和融合，构建市、县（市、县）、乡镇（街道）、村（社区）四级联动的农产品质量安全检测体系。全面施行农产品合格证制度，所有地产农产品全部凭证上市销售，实现产地准出，全面提升农产品质量安全治理能力和监管水平。</w:t>
            </w:r>
          </w:p>
          <w:p>
            <w:pPr>
              <w:ind w:firstLine="562"/>
              <w:rPr>
                <w:rFonts w:ascii="仿宋_GB2312" w:hAnsi="仿宋_GB2312" w:cs="仿宋_GB2312"/>
                <w:sz w:val="28"/>
                <w:szCs w:val="22"/>
              </w:rPr>
            </w:pPr>
            <w:r>
              <w:rPr>
                <w:rFonts w:hint="eastAsia" w:ascii="仿宋_GB2312" w:hAnsi="黑体" w:cs="黑体"/>
                <w:b/>
                <w:sz w:val="28"/>
                <w:szCs w:val="22"/>
              </w:rPr>
              <w:t>示范区废弃物资源化利用工程：</w:t>
            </w:r>
            <w:r>
              <w:rPr>
                <w:rFonts w:hint="eastAsia" w:ascii="仿宋_GB2312" w:hAnsi="仿宋_GB2312" w:cs="仿宋_GB2312"/>
                <w:sz w:val="28"/>
                <w:szCs w:val="22"/>
              </w:rPr>
              <w:t>聚焦示范区畜禽粪污、农作物秸秆、废旧农膜及废弃农药包装等废弃物，以就地消纳、生态循环、综合利用为主线，注重政企联动、监管运行结合，构建示范区农业废弃物资源化利用的有效治理模式。重点推进农作物秸秆综合利用、农田残膜回收利用、畜禽粪污资源化利用、养殖尾水治理等项目建设，主要农作物秸秆综合利用率达到</w:t>
            </w:r>
            <w:r>
              <w:rPr>
                <w:rFonts w:ascii="仿宋_GB2312" w:hAnsi="仿宋_GB2312" w:cs="仿宋_GB2312"/>
                <w:sz w:val="28"/>
                <w:szCs w:val="22"/>
              </w:rPr>
              <w:t>98%</w:t>
            </w:r>
            <w:r>
              <w:rPr>
                <w:rFonts w:hint="eastAsia" w:ascii="仿宋_GB2312" w:hAnsi="仿宋_GB2312" w:cs="仿宋_GB2312"/>
                <w:sz w:val="28"/>
                <w:szCs w:val="22"/>
              </w:rPr>
              <w:t>以上，农田残膜回收利用率达到</w:t>
            </w:r>
            <w:r>
              <w:rPr>
                <w:rFonts w:ascii="仿宋_GB2312" w:hAnsi="仿宋_GB2312" w:cs="仿宋_GB2312"/>
                <w:sz w:val="28"/>
                <w:szCs w:val="22"/>
              </w:rPr>
              <w:t>80%</w:t>
            </w:r>
            <w:r>
              <w:rPr>
                <w:rFonts w:hint="eastAsia" w:ascii="仿宋_GB2312" w:hAnsi="仿宋_GB2312" w:cs="仿宋_GB2312"/>
                <w:sz w:val="28"/>
                <w:szCs w:val="22"/>
              </w:rPr>
              <w:t>以上。</w:t>
            </w:r>
          </w:p>
          <w:p>
            <w:pPr>
              <w:widowControl/>
              <w:spacing w:line="240" w:lineRule="auto"/>
              <w:ind w:firstLine="562"/>
              <w:jc w:val="left"/>
              <w:rPr>
                <w:rFonts w:ascii="仿宋_GB2312" w:hAnsi="仿宋_GB2312" w:cs="仿宋_GB2312"/>
                <w:sz w:val="28"/>
                <w:szCs w:val="22"/>
              </w:rPr>
            </w:pPr>
            <w:r>
              <w:rPr>
                <w:rFonts w:hint="eastAsia" w:ascii="仿宋_GB2312" w:hAnsi="黑体" w:cs="黑体"/>
                <w:b/>
                <w:sz w:val="28"/>
                <w:szCs w:val="22"/>
              </w:rPr>
              <w:t>示范区化肥农药减量增效工程：</w:t>
            </w:r>
            <w:r>
              <w:rPr>
                <w:rFonts w:hint="eastAsia" w:ascii="仿宋_GB2312" w:hAnsi="仿宋_GB2312" w:cs="仿宋_GB2312"/>
                <w:sz w:val="28"/>
                <w:szCs w:val="22"/>
              </w:rPr>
              <w:t>全面推行示范区开展绿色生产方式、大力推广测土配方施肥、化肥减量增效、有机肥替代化肥、粪肥无害化还田、秸秆肥料化还田、绿肥种植等节肥等措施，不断改善农业生态环境。</w:t>
            </w:r>
          </w:p>
        </w:tc>
      </w:tr>
    </w:tbl>
    <w:p>
      <w:pPr>
        <w:pStyle w:val="4"/>
        <w:spacing w:before="292" w:beforeLines="50" w:after="292" w:afterLines="50"/>
      </w:pPr>
      <w:bookmarkStart w:id="23" w:name="_Toc119667498"/>
      <w:r>
        <w:rPr>
          <w:rFonts w:hint="eastAsia"/>
        </w:rPr>
        <w:t>第八节 深化农业农村综合改革，增强示范区发展的内生动力</w:t>
      </w:r>
      <w:bookmarkEnd w:id="23"/>
    </w:p>
    <w:p>
      <w:pPr>
        <w:pStyle w:val="5"/>
        <w:ind w:firstLine="643"/>
        <w:rPr>
          <w:rFonts w:hAnsi="仿宋"/>
          <w:b w:val="0"/>
        </w:rPr>
      </w:pPr>
      <w:r>
        <w:rPr>
          <w:rFonts w:hint="eastAsia" w:hAnsi="仿宋"/>
        </w:rPr>
        <w:t>一、深化农村土地改革</w:t>
      </w:r>
    </w:p>
    <w:p>
      <w:pPr>
        <w:ind w:firstLine="640"/>
        <w:rPr>
          <w:rFonts w:hAnsi="仿宋"/>
          <w:color w:val="000000" w:themeColor="text1"/>
          <w14:textFill>
            <w14:solidFill>
              <w14:schemeClr w14:val="tx1"/>
            </w14:solidFill>
          </w14:textFill>
        </w:rPr>
      </w:pPr>
      <w:r>
        <w:rPr>
          <w:rFonts w:hAnsi="仿宋"/>
          <w:color w:val="000000" w:themeColor="text1"/>
          <w14:textFill>
            <w14:solidFill>
              <w14:schemeClr w14:val="tx1"/>
            </w14:solidFill>
          </w14:textFill>
        </w:rPr>
        <w:t>深化农村土地制度改革</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要</w:t>
      </w:r>
      <w:r>
        <w:rPr>
          <w:rFonts w:hint="eastAsia" w:hAnsi="仿宋"/>
          <w:color w:val="000000" w:themeColor="text1"/>
          <w14:textFill>
            <w14:solidFill>
              <w14:schemeClr w14:val="tx1"/>
            </w14:solidFill>
          </w14:textFill>
        </w:rPr>
        <w:t>在落实小农户土地承包权、宅基地使用权、集体收益分配权的基础上，引导示范区经营主体通过订单收购、保底分红、二次返利、股份合作、吸纳就业、村企对接等多种形式带动小农户共同发展，持续发展适度规模经营；</w:t>
      </w:r>
      <w:r>
        <w:rPr>
          <w:rFonts w:hAnsi="仿宋"/>
          <w:color w:val="000000" w:themeColor="text1"/>
          <w14:textFill>
            <w14:solidFill>
              <w14:schemeClr w14:val="tx1"/>
            </w14:solidFill>
          </w14:textFill>
        </w:rPr>
        <w:t>深化农村土地制度改革，要进一步理顺土地所有权，稳定承包权</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激活经营权，发展农业规模经营</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探索宅基地所有权、资格权、使用权</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三权分置</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引导闲置宅基地和闲置农房合理配置利用</w:t>
      </w:r>
      <w:r>
        <w:rPr>
          <w:rFonts w:hint="eastAsia" w:hAnsi="仿宋"/>
          <w:color w:val="000000" w:themeColor="text1"/>
          <w14:textFill>
            <w14:solidFill>
              <w14:schemeClr w14:val="tx1"/>
            </w14:solidFill>
          </w14:textFill>
        </w:rPr>
        <w:t>；</w:t>
      </w:r>
      <w:r>
        <w:rPr>
          <w:rFonts w:hAnsi="仿宋"/>
          <w:color w:val="000000" w:themeColor="text1"/>
          <w14:textFill>
            <w14:solidFill>
              <w14:schemeClr w14:val="tx1"/>
            </w14:solidFill>
          </w14:textFill>
        </w:rPr>
        <w:t>稳妥推进农村土地征收制度改革，切实保护农民的土地财产权益</w:t>
      </w:r>
      <w:r>
        <w:rPr>
          <w:rFonts w:hint="eastAsia" w:hAnsi="仿宋"/>
          <w:color w:val="000000" w:themeColor="text1"/>
          <w14:textFill>
            <w14:solidFill>
              <w14:schemeClr w14:val="tx1"/>
            </w14:solidFill>
          </w14:textFill>
        </w:rPr>
        <w:t>，将示范区打造成为农村土地制度改革先行区。</w:t>
      </w:r>
    </w:p>
    <w:p>
      <w:pPr>
        <w:pStyle w:val="5"/>
        <w:ind w:firstLine="643"/>
        <w:rPr>
          <w:rFonts w:hAnsi="仿宋"/>
          <w:b w:val="0"/>
        </w:rPr>
      </w:pPr>
      <w:r>
        <w:rPr>
          <w:rFonts w:hint="eastAsia" w:hAnsi="仿宋"/>
        </w:rPr>
        <w:t>二、发展壮大新型村集体经济</w:t>
      </w:r>
    </w:p>
    <w:p>
      <w:pPr>
        <w:ind w:firstLine="640"/>
        <w:rPr>
          <w:rFonts w:hAnsi="仿宋"/>
        </w:rPr>
      </w:pPr>
      <w:r>
        <w:rPr>
          <w:rFonts w:hint="eastAsia" w:hAnsi="仿宋"/>
        </w:rPr>
        <w:t>全面</w:t>
      </w:r>
      <w:r>
        <w:rPr>
          <w:rFonts w:hAnsi="仿宋"/>
        </w:rPr>
        <w:t>深化农村集体产权制度改革，以推行股份合作制改革为重点，盘活农村集体资产，大力推进</w:t>
      </w:r>
      <w:r>
        <w:rPr>
          <w:rFonts w:hint="eastAsia" w:hAnsi="仿宋"/>
        </w:rPr>
        <w:t>“</w:t>
      </w:r>
      <w:r>
        <w:rPr>
          <w:rFonts w:hAnsi="仿宋"/>
        </w:rPr>
        <w:t>三变</w:t>
      </w:r>
      <w:r>
        <w:rPr>
          <w:rFonts w:hint="eastAsia" w:hAnsi="仿宋"/>
        </w:rPr>
        <w:t>”</w:t>
      </w:r>
      <w:r>
        <w:rPr>
          <w:rFonts w:hAnsi="仿宋"/>
        </w:rPr>
        <w:t>改革，提高农村各类资源要素的配置和利用效率，发展壮大农村集体经济</w:t>
      </w:r>
      <w:r>
        <w:rPr>
          <w:rFonts w:hint="eastAsia" w:hAnsi="仿宋"/>
        </w:rPr>
        <w:t>。加大财政扶持、土地政策、项目支持、结对帮扶、体制改革等方面的政策扶持，整合有关项目和资金，向示范区内村级集体经济项目倾斜，重点向经济薄弱村集体经济项目倾斜。拓宽集体经济发展路径，支持集体经济组织以自主开发、租赁、合作等方式，盘活利用闲置的各类房产设施和集体建设用地，发展多种形式的股份合作参与示范区建设，实现集体资产保值增值。强化农村基层党组织的核心领导作用，培养一批懂经营、善管理的村级集体经济带头人，提高村级班子发展集体经济能力。</w:t>
      </w:r>
    </w:p>
    <w:p>
      <w:pPr>
        <w:pStyle w:val="5"/>
        <w:ind w:firstLine="643"/>
        <w:rPr>
          <w:rFonts w:hAnsi="仿宋"/>
          <w:b w:val="0"/>
        </w:rPr>
      </w:pPr>
      <w:r>
        <w:rPr>
          <w:rFonts w:hint="eastAsia" w:hAnsi="仿宋"/>
        </w:rPr>
        <w:t>三、深化农村金融制度改革创新</w:t>
      </w:r>
    </w:p>
    <w:p>
      <w:pPr>
        <w:ind w:firstLine="640"/>
        <w:rPr>
          <w:rFonts w:hAnsi="仿宋"/>
        </w:rPr>
      </w:pPr>
      <w:r>
        <w:rPr>
          <w:rFonts w:hint="eastAsia" w:hAnsi="仿宋"/>
        </w:rPr>
        <w:t>加快建立多层次、广覆盖、风险可控的现代农村金融体系，积极支持涉农金融机构深化改革，积极引导各大金融机构加大对农业开发和农业示范区建设的中长期信贷支持，积极拓展农村普惠金融服务网络。鼓励各类金融机构向县域、乡镇下沉；加快培育发展新型农村金融机构；积极引进和鼓励区内外符合条件的各类资本在县域设立村镇银行，提高民营资本持股比例；引导各类资本设立农业产业投资基金、农业科技创业投资基金等股权投资基金；鼓励金融租赁公司拓展“三农”业务，组建主要服务“三农”的金融租赁公司。规范发展农村金融市场中介服务组织，严格按照国家有关规定稳妥推进农村产权交易市场建设，推动农村产权交易公开、公正、规范运行，建设服务北部湾经济区、辐射东盟的区域性农产品交易平台。积极搭建贴近示范区的金融服务平台，深入实施“金融服务进村入社区工程”，按照“地方政府主导、金融机构参与、市场化运作”的原则，在行政村建立“三农金融服务室”，负责在辖区内开展相关金融知识、金融产品宣传培训推介工作。完善示范区农业保险制度，进一步扩大示范区农业保险覆盖面，积极推进农业保险产品创新，不断加强保险服务能力建设。到2025年，自治区现代特色农业示范区保险覆盖率达100%，基本建成现代特色农业示范区全覆盖的功能完善、运行规范、基础完备的多层次农业保险体系。</w:t>
      </w:r>
    </w:p>
    <w:p>
      <w:pPr>
        <w:ind w:firstLine="640"/>
      </w:pPr>
    </w:p>
    <w:p>
      <w:pPr>
        <w:pStyle w:val="3"/>
      </w:pPr>
      <w:bookmarkStart w:id="24" w:name="_Toc119667499"/>
      <w:r>
        <w:rPr>
          <w:rFonts w:hint="eastAsia"/>
        </w:rPr>
        <w:t>第六章 重点项目策划</w:t>
      </w:r>
      <w:bookmarkEnd w:id="24"/>
    </w:p>
    <w:p>
      <w:pPr>
        <w:ind w:firstLine="640"/>
      </w:pPr>
    </w:p>
    <w:p>
      <w:pPr>
        <w:pStyle w:val="4"/>
        <w:spacing w:after="292" w:afterLines="50" w:line="240" w:lineRule="auto"/>
      </w:pPr>
      <w:bookmarkStart w:id="25" w:name="_Toc119667500"/>
      <w:r>
        <w:t>第一节</w:t>
      </w:r>
      <w:r>
        <w:rPr>
          <w:rFonts w:hint="eastAsia"/>
        </w:rPr>
        <w:t xml:space="preserve"> 浦北县</w:t>
      </w:r>
      <w:r>
        <w:t>国家</w:t>
      </w:r>
      <w:r>
        <w:rPr>
          <w:rFonts w:hint="eastAsia"/>
        </w:rPr>
        <w:t>农业现代化示范区</w:t>
      </w:r>
      <w:r>
        <w:t>项目</w:t>
      </w:r>
      <w:bookmarkEnd w:id="25"/>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rPr>
        <w:t>浦北县国家农业现代化示范区以全县域为实施范围，核心区包括北通镇、白石水镇和龙门镇，依托资源优势，以产业融合、科技创新、示范引领、服务带动和品牌营销为主线，以推进农业设施化、园区化、融合化、绿色化、数字化发展为实施路径方向，围绕浦北黑猪、特色水果等特色优势产业“全产业链”发展的空间优化需求，构建浦北县农业现代化示范区“一园一镇两区两带”的总体空间布局。立足资源禀赋和区位条件，系统提出推进农业设施化、园区化、融合化、绿色化、数字化发展的实施路径和具体任务，示范引领同类地区农业农村现代化加快发展，带动县域经济整体提升。</w:t>
      </w:r>
    </w:p>
    <w:p>
      <w:pPr>
        <w:spacing w:line="240" w:lineRule="auto"/>
        <w:ind w:firstLine="643"/>
        <w:rPr>
          <w:rFonts w:ascii="宋体" w:hAnsi="宋体"/>
          <w:b/>
          <w:bCs/>
          <w:sz w:val="24"/>
        </w:rPr>
      </w:pPr>
      <w:r>
        <w:rPr>
          <w:rFonts w:hint="eastAsia" w:ascii="Times New Roman"/>
          <w:b/>
          <w:bCs/>
        </w:rPr>
        <w:t>（二）</w:t>
      </w:r>
      <w:r>
        <w:rPr>
          <w:rFonts w:hint="eastAsia"/>
          <w:b/>
          <w:bCs/>
        </w:rPr>
        <w:t>功能定位</w:t>
      </w:r>
    </w:p>
    <w:p>
      <w:pPr>
        <w:spacing w:line="240" w:lineRule="auto"/>
        <w:ind w:firstLine="640"/>
      </w:pPr>
      <w:r>
        <w:rPr>
          <w:rFonts w:hint="eastAsia"/>
        </w:rPr>
        <w:t>以农业为主导，农业科技体系为支撑，以补全农业全产业链为目标，融入旅游、康养、文创、商贸、娱乐、互联网等相关产业，建设集“生活、生产、生态”功能于一体的国家级农业现代化示范区，现代生态循环农业引领区、产城融合发展先行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0"/>
      </w:pPr>
      <w:r>
        <w:rPr>
          <w:rFonts w:hint="eastAsia"/>
          <w:bCs/>
        </w:rPr>
        <w:t>重点依托白石水、北通、龙门三镇的现代农业示范区、城乡融合发展试验区、国家农村产业融合发展示范园、农产品加工产业园、田园综合体平台，</w:t>
      </w:r>
      <w:r>
        <w:t>围绕</w:t>
      </w:r>
      <w:r>
        <w:rPr>
          <w:rFonts w:hint="eastAsia"/>
        </w:rPr>
        <w:t>农业设施化、园区化、融合化、绿色化、数字化“五化”创建任务，统筹推进农业农村现代化建设，发展丘陵山区现代生态循环农业，促进农村产业融合与新型城镇化联动发展。</w:t>
      </w:r>
    </w:p>
    <w:p>
      <w:pPr>
        <w:spacing w:line="240" w:lineRule="auto"/>
        <w:ind w:firstLine="640"/>
      </w:pPr>
      <w:r>
        <w:rPr>
          <w:rFonts w:hint="eastAsia"/>
        </w:rPr>
        <w:t>建设内容：围绕推进农业设施化、园区化、融合化、绿色化、数字化发展，浦北县现代化农业示范区重点突出基础设施和设备建设类、主导产业提升类、产业融合发展类和数字农业发展类共四大类29个项目。</w:t>
      </w:r>
    </w:p>
    <w:p>
      <w:pPr>
        <w:pStyle w:val="4"/>
        <w:spacing w:before="292" w:beforeLines="50" w:after="292" w:afterLines="50" w:line="240" w:lineRule="auto"/>
      </w:pPr>
      <w:bookmarkStart w:id="26" w:name="_Toc119667501"/>
      <w:r>
        <w:rPr>
          <w:rFonts w:hint="eastAsia"/>
        </w:rPr>
        <w:t>第二节 自治区级示范区</w:t>
      </w:r>
      <w:r>
        <w:t>提档升级重点项目</w:t>
      </w:r>
      <w:bookmarkEnd w:id="26"/>
    </w:p>
    <w:p>
      <w:pPr>
        <w:pStyle w:val="5"/>
        <w:spacing w:line="240" w:lineRule="auto"/>
        <w:ind w:firstLine="643"/>
      </w:pPr>
      <w:r>
        <w:rPr>
          <w:rFonts w:hint="eastAsia"/>
        </w:rPr>
        <w:t>一、灵山百年荔枝示范区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szCs w:val="28"/>
        </w:rPr>
        <w:t>灵山百年荔枝示范区（四星级）位于灵山县龙武农场，</w:t>
      </w:r>
      <w:r>
        <w:rPr>
          <w:rFonts w:hint="eastAsia"/>
        </w:rPr>
        <w:t>核心区总面积5598.3亩，范围主要是现有的龙武农场区域，从北至南沿新大塘村西南角至103省道、龙武农场、龙武庄园旅游度假区、鹿园、钦江南岸龙武农场汶井队区域。</w:t>
      </w:r>
    </w:p>
    <w:p>
      <w:pPr>
        <w:spacing w:line="240" w:lineRule="auto"/>
        <w:ind w:firstLine="643"/>
      </w:pPr>
      <w:r>
        <w:rPr>
          <w:rFonts w:hint="eastAsia" w:ascii="Times New Roman"/>
          <w:b/>
          <w:bCs/>
        </w:rPr>
        <w:t>（二）</w:t>
      </w:r>
      <w:r>
        <w:rPr>
          <w:rFonts w:hint="eastAsia"/>
          <w:b/>
          <w:bCs/>
        </w:rPr>
        <w:t>功能定位</w:t>
      </w:r>
    </w:p>
    <w:p>
      <w:pPr>
        <w:spacing w:line="240" w:lineRule="auto"/>
        <w:ind w:firstLine="640"/>
      </w:pPr>
      <w:r>
        <w:rPr>
          <w:rFonts w:hint="eastAsia"/>
        </w:rPr>
        <w:t>实现从种植业、养殖业、加工业、营销业、旅游业等多链条相结合的方向发展，形成特色农业观光点，打造集美观性、实用性于一体的休闲生态观</w:t>
      </w:r>
      <w:r>
        <w:t>光旅游</w:t>
      </w:r>
      <w:r>
        <w:rPr>
          <w:rFonts w:hint="eastAsia"/>
        </w:rPr>
        <w:t>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rPr>
          <w:rFonts w:ascii="黑体" w:hAnsi="黑体" w:cs="宋体"/>
          <w:caps/>
        </w:rPr>
      </w:pPr>
      <w:r>
        <w:rPr>
          <w:rFonts w:hint="eastAsia"/>
          <w:b/>
          <w:bCs/>
        </w:rPr>
        <w:t>一是</w:t>
      </w:r>
      <w:r>
        <w:rPr>
          <w:rFonts w:hint="eastAsia"/>
        </w:rPr>
        <w:t>由四星级示范区升级成为五星级示范区。</w:t>
      </w:r>
      <w:r>
        <w:rPr>
          <w:rFonts w:hint="eastAsia"/>
          <w:b/>
          <w:bCs/>
        </w:rPr>
        <w:t>二是</w:t>
      </w:r>
      <w:r>
        <w:rPr>
          <w:rFonts w:hint="eastAsia"/>
        </w:rPr>
        <w:t>利用现有古荔枝资源，打造特色荔枝文化品牌。三是</w:t>
      </w:r>
      <w:r>
        <w:t>因地制宜，</w:t>
      </w:r>
      <w:r>
        <w:rPr>
          <w:rFonts w:hint="eastAsia"/>
        </w:rPr>
        <w:t>大力发展农业产业，进行农技推广。四是以荔枝产业发展为主，引进亚热带优质水果和特种养殖业，调整单一的产业结构，丰富现代农业发展内容。五是</w:t>
      </w:r>
      <w:r>
        <w:rPr>
          <w:rFonts w:hint="eastAsia" w:ascii="黑体" w:hAnsi="黑体" w:cs="宋体"/>
          <w:caps/>
        </w:rPr>
        <w:t>在</w:t>
      </w:r>
      <w:r>
        <w:rPr>
          <w:rFonts w:hint="eastAsia" w:ascii="宋体" w:hAnsi="宋体"/>
          <w:szCs w:val="28"/>
        </w:rPr>
        <w:t>灵山百年荔枝（核心）示范区范围内的村庄，</w:t>
      </w:r>
      <w:r>
        <w:rPr>
          <w:rFonts w:hint="eastAsia" w:ascii="黑体" w:hAnsi="黑体" w:cs="宋体"/>
          <w:caps/>
        </w:rPr>
        <w:t>按照标准建设生态乡村，打造清洁乡村活动“升级版”，营造“一个村屯一座绿岛”的生态美景、农民幸福家园。</w:t>
      </w:r>
    </w:p>
    <w:p>
      <w:pPr>
        <w:pStyle w:val="5"/>
        <w:spacing w:line="240" w:lineRule="auto"/>
        <w:ind w:firstLine="643"/>
      </w:pPr>
      <w:r>
        <w:rPr>
          <w:rFonts w:hint="eastAsia"/>
        </w:rPr>
        <w:t>二、灵山县奶水牛产业示范区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rPr>
        <w:t>灵山县奶水牛产业示范区位于灵山县灵城街道谭礼村。项目总投资超过1.5亿元，核心区面积500亩，已经具备较好的基础。拓展区示范带动建立奶水牛养殖小区10多个，奶水牛存栏量达1.5万头，带动0.8万农户从事奶水牛养殖，奶农人均收入达2.2万元以上。辐射区示范带动建立奶水牛养殖小区20多个，奶水牛存栏量达3万头，带动2万农户从事奶水牛养殖，奶农人均收入达2.2万元以上。</w:t>
      </w:r>
    </w:p>
    <w:p>
      <w:pPr>
        <w:spacing w:line="240" w:lineRule="auto"/>
        <w:ind w:firstLine="643"/>
        <w:rPr>
          <w:rFonts w:ascii="Arial" w:hAnsi="Arial" w:cs="Arial"/>
          <w:shd w:val="clear" w:color="auto" w:fill="FFFFFF"/>
        </w:rPr>
      </w:pPr>
      <w:r>
        <w:rPr>
          <w:rFonts w:hint="eastAsia" w:ascii="Times New Roman"/>
          <w:b/>
          <w:bCs/>
        </w:rPr>
        <w:t>（二）</w:t>
      </w:r>
      <w:r>
        <w:rPr>
          <w:rFonts w:hint="eastAsia"/>
          <w:b/>
          <w:bCs/>
        </w:rPr>
        <w:t>功能定位</w:t>
      </w:r>
    </w:p>
    <w:p>
      <w:pPr>
        <w:spacing w:line="240" w:lineRule="auto"/>
        <w:ind w:firstLine="640"/>
        <w:rPr>
          <w:rFonts w:hAnsi="仿宋" w:cs="仿宋_GB2312"/>
          <w:szCs w:val="32"/>
        </w:rPr>
      </w:pPr>
      <w:r>
        <w:rPr>
          <w:rFonts w:hint="eastAsia" w:hAnsi="仿宋" w:cs="仿宋_GB2312"/>
          <w:szCs w:val="32"/>
        </w:rPr>
        <w:t>建成集奶水牛繁育、标准化饲养、饲料生产加工及粪污资源化处理于一体的综合性现代奶水牛繁育养殖示范区。</w:t>
      </w:r>
    </w:p>
    <w:p>
      <w:pPr>
        <w:spacing w:line="240" w:lineRule="auto"/>
        <w:ind w:firstLine="643"/>
        <w:rPr>
          <w:rFonts w:hAnsi="仿宋"/>
          <w:b/>
          <w:bCs/>
          <w:sz w:val="24"/>
        </w:rPr>
      </w:pPr>
      <w:r>
        <w:rPr>
          <w:rFonts w:hint="eastAsia" w:hAnsi="仿宋"/>
          <w:b/>
          <w:bCs/>
        </w:rPr>
        <w:t>（三）发展方向</w:t>
      </w:r>
    </w:p>
    <w:p>
      <w:pPr>
        <w:spacing w:line="240" w:lineRule="auto"/>
        <w:ind w:firstLine="640"/>
        <w:textAlignment w:val="baseline"/>
        <w:rPr>
          <w:rFonts w:hAnsi="仿宋"/>
        </w:rPr>
      </w:pPr>
      <w:r>
        <w:rPr>
          <w:rFonts w:hint="eastAsia" w:hAnsi="仿宋" w:cs="仿宋_GB2312"/>
          <w:szCs w:val="32"/>
        </w:rPr>
        <w:t>下一步示范区将积极创建自治区五星级示范区。</w:t>
      </w:r>
      <w:r>
        <w:rPr>
          <w:rFonts w:hint="eastAsia" w:hAnsi="仿宋" w:cs="仿宋_GB2312"/>
          <w:b/>
          <w:bCs/>
          <w:szCs w:val="32"/>
        </w:rPr>
        <w:t>一是</w:t>
      </w:r>
      <w:r>
        <w:rPr>
          <w:rFonts w:hint="eastAsia" w:hAnsi="仿宋" w:cs="仿宋_GB2312"/>
          <w:szCs w:val="32"/>
        </w:rPr>
        <w:t>主要建设“四区一中心”，即奶水牛现代生态养殖区、智慧牧场观光区、水果种植区、水牛奶加工物流区、园区综合管理中心。</w:t>
      </w:r>
      <w:r>
        <w:rPr>
          <w:rFonts w:hint="eastAsia" w:hAnsi="仿宋" w:cs="仿宋_GB2312"/>
          <w:b/>
          <w:bCs/>
          <w:szCs w:val="32"/>
        </w:rPr>
        <w:t>二是</w:t>
      </w:r>
      <w:r>
        <w:rPr>
          <w:rFonts w:hint="eastAsia" w:hAnsi="仿宋" w:cs="仿宋_GB2312"/>
          <w:szCs w:val="32"/>
        </w:rPr>
        <w:t>示范区将连片发展，结合周边村庄，</w:t>
      </w:r>
      <w:r>
        <w:rPr>
          <w:rFonts w:hint="eastAsia" w:hAnsi="仿宋"/>
        </w:rPr>
        <w:t>通过</w:t>
      </w:r>
      <w:r>
        <w:rPr>
          <w:rFonts w:hint="eastAsia" w:hAnsi="仿宋"/>
          <w:color w:val="000000" w:themeColor="text1"/>
          <w14:textFill>
            <w14:solidFill>
              <w14:schemeClr w14:val="tx1"/>
            </w14:solidFill>
          </w14:textFill>
        </w:rPr>
        <w:t>“公司+合作社+农户”的运营模式，鼓励村民用好闲置地种草养牛，扩大示范区的种养规模。</w:t>
      </w:r>
    </w:p>
    <w:p>
      <w:pPr>
        <w:spacing w:line="240" w:lineRule="auto"/>
        <w:ind w:firstLine="0" w:firstLineChars="0"/>
        <w:textAlignment w:val="baseline"/>
        <w:rPr>
          <w:rFonts w:ascii="仿宋_GB2312" w:hAnsi="仿宋_GB2312" w:eastAsia="仿宋_GB2312" w:cs="仿宋_GB2312"/>
          <w:color w:val="000000" w:themeColor="text1"/>
          <w:szCs w:val="32"/>
          <w14:textFill>
            <w14:solidFill>
              <w14:schemeClr w14:val="tx1"/>
            </w14:solidFill>
          </w14:textFill>
        </w:rPr>
      </w:pPr>
      <w:r>
        <w:rPr>
          <w:rFonts w:hint="eastAsia" w:hAnsi="仿宋" w:cs="仿宋_GB2312"/>
          <w:b/>
          <w:bCs/>
          <w:color w:val="000000" w:themeColor="text1"/>
          <w:szCs w:val="32"/>
          <w14:textFill>
            <w14:solidFill>
              <w14:schemeClr w14:val="tx1"/>
            </w14:solidFill>
          </w14:textFill>
        </w:rPr>
        <w:t>三是</w:t>
      </w:r>
      <w:r>
        <w:rPr>
          <w:rFonts w:hint="eastAsia" w:hAnsi="仿宋" w:cs="仿宋_GB2312"/>
          <w:color w:val="000000" w:themeColor="text1"/>
          <w:szCs w:val="32"/>
          <w14:textFill>
            <w14:solidFill>
              <w14:schemeClr w14:val="tx1"/>
            </w14:solidFill>
          </w14:textFill>
        </w:rPr>
        <w:t>重点建设现代生态养殖工程、科技支撑保障工程、全程可追溯系统、品牌建设工程、电子商务平台。通过养殖品种的良种化、养殖设施的标准化、养殖环境的生态化、养殖饲料的微生物化、养殖粪污的资源化和养殖投入品的无害化等“六化”建设，为示范区及周边地区发展奶水牛养殖提供健康牛源。</w:t>
      </w:r>
    </w:p>
    <w:p>
      <w:pPr>
        <w:pStyle w:val="5"/>
        <w:spacing w:line="240" w:lineRule="auto"/>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三、灵山香鸡生态养殖示范区</w:t>
      </w:r>
    </w:p>
    <w:p>
      <w:pPr>
        <w:spacing w:line="240" w:lineRule="auto"/>
        <w:ind w:firstLine="643"/>
        <w:rPr>
          <w:rFonts w:ascii="宋体" w:hAnsi="宋体"/>
          <w:b/>
          <w:bCs/>
          <w:color w:val="000000" w:themeColor="text1"/>
          <w:sz w:val="24"/>
          <w14:textFill>
            <w14:solidFill>
              <w14:schemeClr w14:val="tx1"/>
            </w14:solidFill>
          </w14:textFill>
        </w:rPr>
      </w:pPr>
      <w:r>
        <w:rPr>
          <w:rFonts w:hint="eastAsia" w:ascii="Times New Roman"/>
          <w:b/>
          <w:bCs/>
          <w:color w:val="000000" w:themeColor="text1"/>
          <w14:textFill>
            <w14:solidFill>
              <w14:schemeClr w14:val="tx1"/>
            </w14:solidFill>
          </w14:textFill>
        </w:rPr>
        <w:t>（一）</w:t>
      </w:r>
      <w:r>
        <w:rPr>
          <w:rFonts w:hint="eastAsia"/>
          <w:b/>
          <w:bCs/>
          <w:color w:val="000000" w:themeColor="text1"/>
          <w14:textFill>
            <w14:solidFill>
              <w14:schemeClr w14:val="tx1"/>
            </w14:solidFill>
          </w14:textFill>
        </w:rPr>
        <w:t>项目概况</w:t>
      </w:r>
    </w:p>
    <w:p>
      <w:pPr>
        <w:spacing w:line="240" w:lineRule="auto"/>
        <w:ind w:firstLine="640"/>
        <w:rPr>
          <w:color w:val="000000" w:themeColor="text1"/>
          <w:shd w:val="clear" w:color="auto" w:fill="FFFFFF"/>
          <w14:textFill>
            <w14:solidFill>
              <w14:schemeClr w14:val="tx1"/>
            </w14:solidFill>
          </w14:textFill>
        </w:rPr>
      </w:pPr>
      <w:r>
        <w:rPr>
          <w:color w:val="000000" w:themeColor="text1"/>
          <w:shd w:val="clear" w:color="auto" w:fill="FFFFFF"/>
          <w14:textFill>
            <w14:solidFill>
              <w14:schemeClr w14:val="tx1"/>
            </w14:solidFill>
          </w14:textFill>
        </w:rPr>
        <w:t>灵山香鸡</w:t>
      </w:r>
      <w:r>
        <w:rPr>
          <w:rFonts w:hint="eastAsia"/>
          <w:color w:val="000000" w:themeColor="text1"/>
          <w:shd w:val="clear" w:color="auto" w:fill="FFFFFF"/>
          <w14:textFill>
            <w14:solidFill>
              <w14:schemeClr w14:val="tx1"/>
            </w14:solidFill>
          </w14:textFill>
        </w:rPr>
        <w:t>生态养殖</w:t>
      </w:r>
      <w:r>
        <w:rPr>
          <w:color w:val="000000" w:themeColor="text1"/>
          <w:shd w:val="clear" w:color="auto" w:fill="FFFFFF"/>
          <w14:textFill>
            <w14:solidFill>
              <w14:schemeClr w14:val="tx1"/>
            </w14:solidFill>
          </w14:textFill>
        </w:rPr>
        <w:t>示范区</w:t>
      </w:r>
      <w:r>
        <w:rPr>
          <w:rFonts w:hint="eastAsia"/>
          <w:color w:val="000000" w:themeColor="text1"/>
          <w:shd w:val="clear" w:color="auto" w:fill="FFFFFF"/>
          <w14:textFill>
            <w14:solidFill>
              <w14:schemeClr w14:val="tx1"/>
            </w14:solidFill>
          </w14:textFill>
        </w:rPr>
        <w:t>（四星级）</w:t>
      </w:r>
      <w:r>
        <w:rPr>
          <w:color w:val="000000" w:themeColor="text1"/>
          <w:shd w:val="clear" w:color="auto" w:fill="FFFFFF"/>
          <w14:textFill>
            <w14:solidFill>
              <w14:schemeClr w14:val="tx1"/>
            </w14:solidFill>
          </w14:textFill>
        </w:rPr>
        <w:t>位于</w:t>
      </w:r>
      <w:r>
        <w:rPr>
          <w:rFonts w:hint="eastAsia"/>
          <w:color w:val="000000" w:themeColor="text1"/>
          <w:shd w:val="clear" w:color="auto" w:fill="FFFFFF"/>
          <w14:textFill>
            <w14:solidFill>
              <w14:schemeClr w14:val="tx1"/>
            </w14:solidFill>
          </w14:textFill>
        </w:rPr>
        <w:t>灵山县</w:t>
      </w:r>
      <w:r>
        <w:rPr>
          <w:color w:val="000000" w:themeColor="text1"/>
          <w:shd w:val="clear" w:color="auto" w:fill="FFFFFF"/>
          <w14:textFill>
            <w14:solidFill>
              <w14:schemeClr w14:val="tx1"/>
            </w14:solidFill>
          </w14:textFill>
        </w:rPr>
        <w:t>沙坪镇，建成了保种选育区、种鸡繁育区、鸡苗孵化区、生物有机肥加工区、综合管理区、灵山香鸡科普文化园、育种中心，2020年年产值近4亿元，成为目前国内三黄鸡行业最大的单体育种基地。示范区主要有</w:t>
      </w:r>
      <w:r>
        <w:rPr>
          <w:rFonts w:hint="eastAsia"/>
          <w:color w:val="000000" w:themeColor="text1"/>
          <w:shd w:val="clear" w:color="auto" w:fill="FFFFFF"/>
          <w14:textFill>
            <w14:solidFill>
              <w14:schemeClr w14:val="tx1"/>
            </w14:solidFill>
          </w14:textFill>
        </w:rPr>
        <w:t>三</w:t>
      </w:r>
      <w:r>
        <w:rPr>
          <w:color w:val="000000" w:themeColor="text1"/>
          <w:shd w:val="clear" w:color="auto" w:fill="FFFFFF"/>
          <w14:textFill>
            <w14:solidFill>
              <w14:schemeClr w14:val="tx1"/>
            </w14:solidFill>
          </w14:textFill>
        </w:rPr>
        <w:t>大亮点：一，双鸣谷种鸡场占地面积435亩，总投资1.46亿元，是目前国</w:t>
      </w:r>
      <w:r>
        <w:rPr>
          <w:rFonts w:hint="eastAsia"/>
          <w:color w:val="000000" w:themeColor="text1"/>
          <w:shd w:val="clear" w:color="auto" w:fill="FFFFFF"/>
          <w14:textFill>
            <w14:solidFill>
              <w14:schemeClr w14:val="tx1"/>
            </w14:solidFill>
          </w14:textFill>
        </w:rPr>
        <w:t>内养殖</w:t>
      </w:r>
      <w:r>
        <w:rPr>
          <w:color w:val="000000" w:themeColor="text1"/>
          <w:shd w:val="clear" w:color="auto" w:fill="FFFFFF"/>
          <w14:textFill>
            <w14:solidFill>
              <w14:schemeClr w14:val="tx1"/>
            </w14:solidFill>
          </w14:textFill>
        </w:rPr>
        <w:t>鸡行业规模靠前的配套场；二，场内配备的生产设备和孵化设备，均是目前国</w:t>
      </w:r>
      <w:r>
        <w:rPr>
          <w:rFonts w:hint="eastAsia"/>
          <w:color w:val="000000" w:themeColor="text1"/>
          <w:shd w:val="clear" w:color="auto" w:fill="FFFFFF"/>
          <w14:textFill>
            <w14:solidFill>
              <w14:schemeClr w14:val="tx1"/>
            </w14:solidFill>
          </w14:textFill>
        </w:rPr>
        <w:t>内养殖</w:t>
      </w:r>
      <w:r>
        <w:rPr>
          <w:color w:val="000000" w:themeColor="text1"/>
          <w:shd w:val="clear" w:color="auto" w:fill="FFFFFF"/>
          <w14:textFill>
            <w14:solidFill>
              <w14:schemeClr w14:val="tx1"/>
            </w14:solidFill>
          </w14:textFill>
        </w:rPr>
        <w:t>鸡行业最先进的设备产品；三，双鸣谷示范区是国家农业农村部确定的广西麻鸡种质资源保护场。</w:t>
      </w:r>
    </w:p>
    <w:p>
      <w:pPr>
        <w:spacing w:line="240" w:lineRule="auto"/>
        <w:ind w:firstLine="643"/>
        <w:rPr>
          <w:rFonts w:ascii="Arial" w:hAnsi="Arial" w:cs="Arial"/>
          <w:shd w:val="clear" w:color="auto" w:fill="FFFFFF"/>
        </w:rPr>
      </w:pPr>
      <w:r>
        <w:rPr>
          <w:rFonts w:hint="eastAsia" w:ascii="Times New Roman"/>
          <w:b/>
          <w:bCs/>
        </w:rPr>
        <w:t>（二）</w:t>
      </w:r>
      <w:r>
        <w:rPr>
          <w:rFonts w:hint="eastAsia"/>
          <w:b/>
          <w:bCs/>
        </w:rPr>
        <w:t>功能定位</w:t>
      </w:r>
    </w:p>
    <w:p>
      <w:pPr>
        <w:spacing w:line="240" w:lineRule="auto"/>
        <w:ind w:firstLine="640"/>
      </w:pPr>
      <w:r>
        <w:rPr>
          <w:rFonts w:hint="eastAsia" w:ascii="宋体" w:hAnsi="宋体" w:cs="宋体"/>
          <w:szCs w:val="28"/>
        </w:rPr>
        <w:t>打造集</w:t>
      </w:r>
      <w:r>
        <w:rPr>
          <w:rFonts w:hint="eastAsia"/>
        </w:rPr>
        <w:t>生产示范、科技推广、循环农业</w:t>
      </w:r>
      <w:r>
        <w:rPr>
          <w:rFonts w:hint="eastAsia" w:ascii="宋体" w:hAnsi="宋体" w:cs="宋体"/>
          <w:szCs w:val="28"/>
        </w:rPr>
        <w:t>的休闲生态种养示范区。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由四星级示范区升级成为五星级示范区。</w:t>
      </w:r>
      <w:r>
        <w:rPr>
          <w:rFonts w:hint="eastAsia"/>
          <w:b/>
          <w:bCs/>
        </w:rPr>
        <w:t>二是</w:t>
      </w:r>
      <w:r>
        <w:rPr>
          <w:rFonts w:hint="eastAsia"/>
        </w:rPr>
        <w:t>以养殖业为主导产业，加强示范区信息化建设，提升种养循环生产模式，打造现代养殖示范基地和现代化循环农业示范基地，深化延伸养殖、种植、加工产业链，促进形成服务业带动的“生产+加工+休闲旅游”三产联动体系，打造高效立体式循环农业示范样板。</w:t>
      </w:r>
    </w:p>
    <w:p>
      <w:pPr>
        <w:pStyle w:val="5"/>
        <w:spacing w:line="240" w:lineRule="auto"/>
        <w:ind w:firstLine="643"/>
      </w:pPr>
      <w:r>
        <w:rPr>
          <w:rFonts w:hint="eastAsia"/>
        </w:rPr>
        <w:t>四、灵山三喜番石榴产业示范区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ascii="Arial" w:hAnsi="Arial" w:cs="Arial"/>
          <w:shd w:val="clear" w:color="auto" w:fill="FFFFFF"/>
        </w:rPr>
        <w:t>灵山三喜番石榴产业</w:t>
      </w:r>
      <w:r>
        <w:rPr>
          <w:rFonts w:ascii="Arial" w:hAnsi="Arial" w:cs="Arial"/>
          <w:shd w:val="clear" w:color="auto" w:fill="FFFFFF"/>
        </w:rPr>
        <w:t>示范区</w:t>
      </w:r>
      <w:r>
        <w:rPr>
          <w:rFonts w:hint="eastAsia" w:ascii="Arial" w:hAnsi="Arial" w:cs="Arial"/>
          <w:shd w:val="clear" w:color="auto" w:fill="FFFFFF"/>
        </w:rPr>
        <w:t>（县级）</w:t>
      </w:r>
      <w:r>
        <w:rPr>
          <w:rFonts w:ascii="Arial" w:hAnsi="Arial" w:cs="Arial"/>
          <w:shd w:val="clear" w:color="auto" w:fill="FFFFFF"/>
        </w:rPr>
        <w:t>位于</w:t>
      </w:r>
      <w:r>
        <w:rPr>
          <w:rFonts w:hint="eastAsia" w:ascii="Arial" w:hAnsi="Arial" w:cs="Arial"/>
          <w:shd w:val="clear" w:color="auto" w:fill="FFFFFF"/>
        </w:rPr>
        <w:t>灵山县三隆</w:t>
      </w:r>
      <w:r>
        <w:rPr>
          <w:rFonts w:ascii="Arial" w:hAnsi="Arial" w:cs="Arial"/>
          <w:shd w:val="clear" w:color="auto" w:fill="FFFFFF"/>
        </w:rPr>
        <w:t>镇，</w:t>
      </w:r>
      <w:r>
        <w:t>核心区内涵盖农家乐体验区、烧烤区、垂钓区、百香果园、贡柑园、生态鱼塘等生态</w:t>
      </w:r>
      <w:r>
        <w:rPr>
          <w:rFonts w:hint="eastAsia"/>
        </w:rPr>
        <w:t>旅游和</w:t>
      </w:r>
      <w:r>
        <w:t>农业生产功能园区。该园区现番石榴种植面积1000亩，扩展区和辐射区3000亩，年产番石榴等特色水果5100吨，为100多户农民带来3千多万元的收入。</w:t>
      </w:r>
    </w:p>
    <w:p>
      <w:pPr>
        <w:spacing w:line="240" w:lineRule="auto"/>
        <w:ind w:firstLine="643"/>
        <w:rPr>
          <w:rFonts w:ascii="Arial" w:hAnsi="Arial" w:cs="Arial"/>
          <w:shd w:val="clear" w:color="auto" w:fill="FFFFFF"/>
        </w:rPr>
      </w:pPr>
      <w:r>
        <w:rPr>
          <w:rFonts w:hint="eastAsia" w:ascii="Times New Roman"/>
          <w:b/>
          <w:bCs/>
        </w:rPr>
        <w:t>（二）</w:t>
      </w:r>
      <w:r>
        <w:rPr>
          <w:rFonts w:hint="eastAsia"/>
          <w:b/>
          <w:bCs/>
        </w:rPr>
        <w:t>功能定位</w:t>
      </w:r>
    </w:p>
    <w:p>
      <w:pPr>
        <w:spacing w:line="240" w:lineRule="auto"/>
        <w:ind w:firstLine="640"/>
      </w:pPr>
      <w:r>
        <w:rPr>
          <w:rFonts w:hint="eastAsia"/>
        </w:rPr>
        <w:t>集生态观光农业、自然景观、休闲娱乐于一体的现代特色农业观光区。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由县级示范区升级成为自治区级四星级示范区。</w:t>
      </w:r>
      <w:r>
        <w:rPr>
          <w:rFonts w:hint="eastAsia"/>
          <w:b/>
          <w:bCs/>
        </w:rPr>
        <w:t>二是</w:t>
      </w:r>
      <w:r>
        <w:rPr>
          <w:rFonts w:hint="eastAsia"/>
        </w:rPr>
        <w:t>紧跟市场需求，及时调整种植新的番石榴品种，并创立品牌，打响知名度，进一步拓宽销路；</w:t>
      </w:r>
      <w:r>
        <w:rPr>
          <w:rFonts w:hint="eastAsia"/>
          <w:b/>
          <w:bCs/>
        </w:rPr>
        <w:t>三是</w:t>
      </w:r>
      <w:r>
        <w:rPr>
          <w:rFonts w:hint="eastAsia"/>
        </w:rPr>
        <w:t>利用最新科技，发展番石榴加工产业，生产高端和特色加工产品，将番石榴产业打造成集种植、销售、加工于一身的“一条龙”产业，解决好销路不稳定的市场隐患。</w:t>
      </w:r>
    </w:p>
    <w:p>
      <w:pPr>
        <w:pStyle w:val="5"/>
        <w:spacing w:line="240" w:lineRule="auto"/>
        <w:ind w:firstLine="643"/>
      </w:pPr>
      <w:r>
        <w:rPr>
          <w:rFonts w:hint="eastAsia"/>
        </w:rPr>
        <w:t>五、浦北县五皇山石祖林中茶示范区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ascii="Arial" w:hAnsi="Arial" w:cs="Arial"/>
          <w:shd w:val="clear" w:color="auto" w:fill="FFFFFF"/>
        </w:rPr>
        <w:t>浦北县五皇山石祖林中茶示范区</w:t>
      </w:r>
      <w:r>
        <w:rPr>
          <w:rFonts w:hint="eastAsia" w:ascii="Arial" w:hAnsi="Arial" w:cs="Arial"/>
          <w:shd w:val="clear" w:color="auto" w:fill="FFFFFF"/>
        </w:rPr>
        <w:t>（四星级）</w:t>
      </w:r>
      <w:r>
        <w:rPr>
          <w:rFonts w:ascii="Arial" w:hAnsi="Arial" w:cs="Arial"/>
          <w:shd w:val="clear" w:color="auto" w:fill="FFFFFF"/>
        </w:rPr>
        <w:t>位于浦北县北通镇，主导产业是五皇山林中古茶，</w:t>
      </w:r>
      <w:r>
        <w:rPr>
          <w:rFonts w:hint="eastAsia" w:ascii="Arial" w:hAnsi="Arial" w:cs="Arial"/>
          <w:shd w:val="clear" w:color="auto" w:fill="FFFFFF"/>
        </w:rPr>
        <w:t>核心区</w:t>
      </w:r>
      <w:r>
        <w:rPr>
          <w:rFonts w:ascii="Arial" w:hAnsi="Arial" w:cs="Arial"/>
          <w:shd w:val="clear" w:color="auto" w:fill="FFFFFF"/>
        </w:rPr>
        <w:t>位于北通镇那新村委五皇山区域，面积共</w:t>
      </w:r>
      <w:r>
        <w:rPr>
          <w:rFonts w:hAnsi="仿宋" w:cs="Arial"/>
          <w:shd w:val="clear" w:color="auto" w:fill="FFFFFF"/>
        </w:rPr>
        <w:t>3550</w:t>
      </w:r>
      <w:r>
        <w:rPr>
          <w:rFonts w:ascii="Arial" w:hAnsi="Arial" w:cs="Arial"/>
          <w:shd w:val="clear" w:color="auto" w:fill="FFFFFF"/>
        </w:rPr>
        <w:t>亩，根据产业基础、资源条件及功能定位，规划为</w:t>
      </w:r>
      <w:r>
        <w:rPr>
          <w:rFonts w:hint="eastAsia" w:ascii="Arial" w:hAnsi="Arial" w:cs="Arial"/>
          <w:shd w:val="clear" w:color="auto" w:fill="FFFFFF"/>
        </w:rPr>
        <w:t>“</w:t>
      </w:r>
      <w:r>
        <w:rPr>
          <w:rFonts w:ascii="Arial" w:hAnsi="Arial" w:cs="Arial"/>
          <w:shd w:val="clear" w:color="auto" w:fill="FFFFFF"/>
        </w:rPr>
        <w:t>五区一村</w:t>
      </w:r>
      <w:r>
        <w:rPr>
          <w:rFonts w:hint="eastAsia" w:ascii="Arial" w:hAnsi="Arial" w:cs="Arial"/>
          <w:shd w:val="clear" w:color="auto" w:fill="FFFFFF"/>
        </w:rPr>
        <w:t>”</w:t>
      </w:r>
      <w:r>
        <w:rPr>
          <w:rFonts w:ascii="Arial" w:hAnsi="Arial" w:cs="Arial"/>
          <w:shd w:val="clear" w:color="auto" w:fill="FFFFFF"/>
        </w:rPr>
        <w:t>的空间布局。</w:t>
      </w:r>
      <w:r>
        <w:rPr>
          <w:rFonts w:hint="eastAsia" w:ascii="Arial" w:hAnsi="Arial" w:cs="Arial"/>
          <w:shd w:val="clear" w:color="auto" w:fill="FFFFFF"/>
        </w:rPr>
        <w:t>五</w:t>
      </w:r>
      <w:r>
        <w:rPr>
          <w:rFonts w:ascii="Arial" w:hAnsi="Arial" w:cs="Arial"/>
          <w:shd w:val="clear" w:color="auto" w:fill="FFFFFF"/>
        </w:rPr>
        <w:t>区：即生态种植区、种苗繁育区、文化体验区、休闲养生区和花果田园区。一村：即将核心区周边的村落建设为宜居乡村。</w:t>
      </w:r>
    </w:p>
    <w:p>
      <w:pPr>
        <w:spacing w:line="240" w:lineRule="auto"/>
        <w:ind w:firstLine="643"/>
        <w:rPr>
          <w:rFonts w:ascii="宋体" w:hAnsi="宋体"/>
          <w:b/>
          <w:bCs/>
          <w:sz w:val="24"/>
        </w:rPr>
      </w:pPr>
      <w:r>
        <w:rPr>
          <w:rFonts w:hint="eastAsia" w:ascii="Times New Roman"/>
          <w:b/>
          <w:bCs/>
        </w:rPr>
        <w:t>（二）</w:t>
      </w:r>
      <w:r>
        <w:rPr>
          <w:rFonts w:hint="eastAsia"/>
          <w:b/>
          <w:bCs/>
        </w:rPr>
        <w:t>功能定位</w:t>
      </w:r>
    </w:p>
    <w:p>
      <w:pPr>
        <w:spacing w:line="240" w:lineRule="auto"/>
        <w:ind w:firstLine="640"/>
        <w:rPr>
          <w:rFonts w:ascii="宋体" w:hAnsi="宋体" w:eastAsia="宋体"/>
          <w:sz w:val="24"/>
        </w:rPr>
      </w:pPr>
      <w:r>
        <w:rPr>
          <w:rFonts w:hint="eastAsia"/>
        </w:rPr>
        <w:t>集</w:t>
      </w:r>
      <w:r>
        <w:t>绿</w:t>
      </w:r>
      <w:r>
        <w:rPr>
          <w:rFonts w:hint="eastAsia"/>
        </w:rPr>
        <w:t>色生产、科技示范、辐射带动、加工流通、旅游休闲、养生体验等功能的综合性示范区。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争取创建成为自治区五星级示范区。</w:t>
      </w:r>
      <w:r>
        <w:rPr>
          <w:rFonts w:hint="eastAsia"/>
          <w:b/>
          <w:bCs/>
        </w:rPr>
        <w:t>二是</w:t>
      </w:r>
      <w:r>
        <w:rPr>
          <w:rFonts w:hint="eastAsia"/>
        </w:rPr>
        <w:t>加大浦北富硒茶种植规模，强化加工能力，推动富硒茶产业化发展。</w:t>
      </w:r>
      <w:r>
        <w:rPr>
          <w:rFonts w:hint="eastAsia"/>
          <w:b/>
          <w:bCs/>
        </w:rPr>
        <w:t>三是</w:t>
      </w:r>
      <w:r>
        <w:rPr>
          <w:rFonts w:hint="eastAsia"/>
        </w:rPr>
        <w:t>大力发展生态茶园，完善休闲农业配套设施建设，加强富硒茶品牌推广，打造品牌特色鲜明的知名茶产品。</w:t>
      </w:r>
    </w:p>
    <w:p>
      <w:pPr>
        <w:pStyle w:val="5"/>
        <w:spacing w:line="240" w:lineRule="auto"/>
        <w:ind w:firstLine="643"/>
      </w:pPr>
      <w:r>
        <w:rPr>
          <w:rFonts w:hint="eastAsia"/>
        </w:rPr>
        <w:t>六、</w:t>
      </w:r>
      <w:r>
        <w:rPr>
          <w:rFonts w:hint="eastAsia" w:ascii="仿宋_GB2312" w:hAnsi="仿宋_GB2312" w:eastAsia="仿宋_GB2312" w:cs="仿宋_GB2312"/>
          <w:szCs w:val="32"/>
        </w:rPr>
        <w:t>浦北佳荔特色水果示范区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t>浦北佳荔特色水果示范区</w:t>
      </w:r>
      <w:r>
        <w:rPr>
          <w:rFonts w:hint="eastAsia"/>
        </w:rPr>
        <w:t>（四星级）</w:t>
      </w:r>
      <w:r>
        <w:t>位于北通镇清湖村至白石水镇良田村之间302县道两侧，总面积5万亩，其中核心区6800亩，核心区主导产业荔枝4000亩。示范区集生态荔枝、生态家园、观光旅游于一体，区内有四季常绿的十里荔枝长廊、碧水荔枝标准园和千亩番石榴基地，有全国生态文明村福多堂村、远近闻名的生态乡村铺儿村、清湖村委车木阁民居和清湖荔枝生态园等景点。</w:t>
      </w:r>
    </w:p>
    <w:p>
      <w:pPr>
        <w:spacing w:line="240" w:lineRule="auto"/>
        <w:ind w:firstLine="643"/>
        <w:rPr>
          <w:rFonts w:ascii="宋体" w:hAnsi="宋体"/>
          <w:b/>
          <w:bCs/>
          <w:sz w:val="24"/>
        </w:rPr>
      </w:pPr>
      <w:r>
        <w:rPr>
          <w:rFonts w:hint="eastAsia" w:ascii="Times New Roman"/>
          <w:b/>
          <w:bCs/>
        </w:rPr>
        <w:t>（二）</w:t>
      </w:r>
      <w:r>
        <w:rPr>
          <w:rFonts w:hint="eastAsia"/>
          <w:b/>
          <w:bCs/>
        </w:rPr>
        <w:t>功能定位</w:t>
      </w:r>
    </w:p>
    <w:p>
      <w:pPr>
        <w:spacing w:line="240" w:lineRule="auto"/>
        <w:ind w:firstLine="640"/>
      </w:pPr>
      <w:r>
        <w:rPr>
          <w:rFonts w:hint="eastAsia"/>
        </w:rPr>
        <w:t>高效种植、加工配销、示范推广、科普培训、生态休闲等功能的综合性示范区。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由原四星级示范区升级成为五星级示范区。</w:t>
      </w:r>
      <w:r>
        <w:rPr>
          <w:rFonts w:hint="eastAsia"/>
          <w:b/>
          <w:bCs/>
        </w:rPr>
        <w:t>二是</w:t>
      </w:r>
      <w:r>
        <w:rPr>
          <w:rFonts w:hint="eastAsia"/>
        </w:rPr>
        <w:t>全力推动浦北荔枝种植、加工先进适用技术引进和集成配套应用，鼓励发展农资、农技、流通等社会化服务，大力发展产品加工和新型贸易方式，推进优势产业向产加销、农工商一体化发展，建成国内先进的高效农业产业展示区，打造成为国内知名、地区特色鲜明的农业产业集群。</w:t>
      </w:r>
    </w:p>
    <w:p>
      <w:pPr>
        <w:pStyle w:val="5"/>
        <w:spacing w:line="240" w:lineRule="auto"/>
        <w:ind w:firstLine="643"/>
      </w:pPr>
      <w:r>
        <w:rPr>
          <w:rFonts w:hint="eastAsia"/>
        </w:rPr>
        <w:t>七、广西农垦越州天湖休闲农业示范区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rPr>
        <w:t>越州天湖休闲农业示范区（三星级）位于浦北县小江水库区。示范区南北走向，纵距最长达52公里。示范区集生态荔枝、龙眼生产、淡水鱼虾养殖、观光旅游于一体，区内有仙鹤岛、东坡渡、伏波滩、望夫岭、清浊湖、对歌坡、三帝庙等自然景点，及天湖大渡槽和香翰屏将军故居等人文景观。</w:t>
      </w:r>
    </w:p>
    <w:p>
      <w:pPr>
        <w:spacing w:line="240" w:lineRule="auto"/>
        <w:ind w:firstLine="643"/>
      </w:pPr>
      <w:r>
        <w:rPr>
          <w:rFonts w:hint="eastAsia" w:ascii="Times New Roman"/>
          <w:b/>
          <w:bCs/>
        </w:rPr>
        <w:t>（二）</w:t>
      </w:r>
      <w:r>
        <w:rPr>
          <w:rFonts w:hint="eastAsia"/>
          <w:b/>
          <w:bCs/>
        </w:rPr>
        <w:t>功能定位</w:t>
      </w:r>
    </w:p>
    <w:p>
      <w:pPr>
        <w:spacing w:line="240" w:lineRule="auto"/>
        <w:ind w:firstLine="640"/>
      </w:pPr>
      <w:r>
        <w:rPr>
          <w:rFonts w:hint="eastAsia"/>
        </w:rPr>
        <w:t>生产示范、科技推广、教育培训、农旅融合</w:t>
      </w:r>
      <w:r>
        <w:rPr>
          <w:rFonts w:hint="eastAsia"/>
          <w:szCs w:val="32"/>
          <w:shd w:val="clear" w:color="auto" w:fill="FFFFFF"/>
        </w:rPr>
        <w:t>等</w:t>
      </w:r>
      <w:r>
        <w:rPr>
          <w:rFonts w:hint="eastAsia"/>
        </w:rPr>
        <w:t>功能的生态文化旅游示范区。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由三星级示范区升级成为四星级示范区。</w:t>
      </w:r>
      <w:r>
        <w:rPr>
          <w:rFonts w:hint="eastAsia"/>
          <w:b/>
          <w:bCs/>
        </w:rPr>
        <w:t>二是</w:t>
      </w:r>
      <w:r>
        <w:rPr>
          <w:rFonts w:hint="eastAsia"/>
        </w:rPr>
        <w:t>完善提升越州天湖旅游区配套功能设施建设，打造成为集休闲观光、旅游住宿、科普研学、亲子教育、文化体验于一体的现代化休闲农业示范区。</w:t>
      </w:r>
    </w:p>
    <w:p>
      <w:pPr>
        <w:pStyle w:val="5"/>
        <w:spacing w:line="240" w:lineRule="auto"/>
        <w:ind w:firstLine="643"/>
      </w:pPr>
      <w:r>
        <w:rPr>
          <w:rFonts w:hint="eastAsia"/>
        </w:rPr>
        <w:t>八、钦州市钦南区龙门蚝湾大蚝产业示范区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ascii="Arial" w:hAnsi="Arial" w:cs="Arial"/>
          <w:shd w:val="clear" w:color="auto" w:fill="FFFFFF"/>
        </w:rPr>
        <w:t>钦南区龙门蚝湾大蚝产业示范区</w:t>
      </w:r>
      <w:r>
        <w:rPr>
          <w:rFonts w:hint="eastAsia" w:ascii="Arial" w:hAnsi="Arial" w:cs="Arial"/>
          <w:shd w:val="clear" w:color="auto" w:fill="FFFFFF"/>
        </w:rPr>
        <w:t>（三星级）位于钦州市钦南区龙门港镇，</w:t>
      </w:r>
      <w:r>
        <w:rPr>
          <w:rFonts w:ascii="Arial" w:hAnsi="Arial" w:cs="Arial"/>
          <w:shd w:val="clear" w:color="auto" w:fill="FFFFFF"/>
        </w:rPr>
        <w:t>主导产业为大蚝养殖、蚝苗采集培育、大蚝加工、销售等，示范区核心区面积</w:t>
      </w:r>
      <w:r>
        <w:rPr>
          <w:rFonts w:hAnsi="仿宋" w:cs="Arial"/>
          <w:shd w:val="clear" w:color="auto" w:fill="FFFFFF"/>
        </w:rPr>
        <w:t>3700</w:t>
      </w:r>
      <w:r>
        <w:rPr>
          <w:rFonts w:ascii="Arial" w:hAnsi="Arial" w:cs="Arial"/>
          <w:shd w:val="clear" w:color="auto" w:fill="FFFFFF"/>
        </w:rPr>
        <w:t>亩。</w:t>
      </w:r>
      <w:r>
        <w:t>示范区可实时展现钦州天然蚝苗从蚝饼吊挂到蚝苗繁殖以及小苗、中蚝、大蚝养殖的全过程，充分展示钦州天然蚝苗稀缺、独有的天然繁殖特点，吸引了不少游客前来观光体验。</w:t>
      </w:r>
    </w:p>
    <w:p>
      <w:pPr>
        <w:spacing w:line="240" w:lineRule="auto"/>
        <w:ind w:firstLine="643"/>
        <w:rPr>
          <w:rFonts w:ascii="宋体" w:hAnsi="宋体"/>
          <w:b/>
          <w:bCs/>
          <w:sz w:val="24"/>
        </w:rPr>
      </w:pPr>
      <w:r>
        <w:rPr>
          <w:rFonts w:hint="eastAsia" w:ascii="Times New Roman"/>
          <w:b/>
          <w:bCs/>
        </w:rPr>
        <w:t>（二）</w:t>
      </w:r>
      <w:r>
        <w:rPr>
          <w:rFonts w:hint="eastAsia"/>
          <w:b/>
          <w:bCs/>
        </w:rPr>
        <w:t>功能定位</w:t>
      </w:r>
    </w:p>
    <w:p>
      <w:pPr>
        <w:spacing w:line="240" w:lineRule="auto"/>
        <w:ind w:firstLine="640"/>
        <w:rPr>
          <w:rFonts w:ascii="宋体" w:hAnsi="宋体" w:eastAsia="宋体"/>
          <w:sz w:val="24"/>
        </w:rPr>
      </w:pPr>
      <w:r>
        <w:rPr>
          <w:rFonts w:hint="eastAsia"/>
        </w:rPr>
        <w:t>集现代渔业、带农增收、休闲渔业等功能的综合性示范区。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由三星级示范区升级成为四星级示范区。</w:t>
      </w:r>
      <w:r>
        <w:rPr>
          <w:rFonts w:hint="eastAsia"/>
          <w:b/>
          <w:bCs/>
        </w:rPr>
        <w:t>二是</w:t>
      </w:r>
      <w:r>
        <w:rPr>
          <w:rFonts w:hint="eastAsia"/>
        </w:rPr>
        <w:t>推广新型抗风浪蚝排养殖、标准化养殖“钦州大蚝”等现代化及生态水产养殖模式，降低水产养殖风险，增加产量，建设成为标准化生产水平高的现代特色农业示范区。</w:t>
      </w:r>
    </w:p>
    <w:p>
      <w:pPr>
        <w:spacing w:line="240" w:lineRule="auto"/>
        <w:ind w:firstLine="640"/>
      </w:pPr>
      <w:r>
        <w:rPr>
          <w:rFonts w:hint="eastAsia"/>
        </w:rPr>
        <w:t>建设内容：天然蚝苗繁殖区、标准化大蚝养殖区、大蚝交易中心、滨海康养旅游度假中心、大蚝美食长廊、大蚝文化长廊、海上蚝苗展览馆馆、海上大蚝电子商务中心、大蚝景观化养殖展示区、大蚝科普教育基地、沙滩泳池亲子乐园、旅游码头、三合院民宿、大蚝净化、大蚝分拣、大蚝包装车间、大蚝深加工、大蚝中央厨房等、青年创业中心等。</w:t>
      </w:r>
    </w:p>
    <w:p>
      <w:pPr>
        <w:spacing w:line="240" w:lineRule="auto"/>
        <w:ind w:firstLine="640"/>
        <w:rPr>
          <w:rFonts w:ascii="宋体" w:hAnsi="宋体"/>
          <w:sz w:val="24"/>
        </w:rPr>
      </w:pPr>
      <w:r>
        <w:rPr>
          <w:rFonts w:hint="eastAsia"/>
        </w:rPr>
        <w:t>投资估算：项目规划总投资6亿元，其中农业项目投入约38000万元，基础设施建设约投入8800万元，休闲娱乐设施建设约7400万元，绿化环保投资5800万元。</w:t>
      </w:r>
    </w:p>
    <w:p>
      <w:pPr>
        <w:pStyle w:val="5"/>
        <w:spacing w:line="240" w:lineRule="auto"/>
        <w:ind w:firstLine="643"/>
      </w:pPr>
      <w:r>
        <w:rPr>
          <w:rFonts w:hint="eastAsia"/>
        </w:rPr>
        <w:t>九、钦州市钦南区北部湾花卉小镇森林生态文化旅游示范区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hAnsi="仿宋"/>
        </w:rPr>
      </w:pPr>
      <w:r>
        <w:rPr>
          <w:rFonts w:hint="eastAsia" w:hAnsi="仿宋"/>
          <w:szCs w:val="32"/>
          <w:shd w:val="clear" w:color="auto" w:fill="FFFFFF"/>
        </w:rPr>
        <w:t>钦州市钦南区北部湾花卉小镇森林生态文化旅游示范区（三星级）位于钦州市钦南区沙埠镇坭桥村，总面积80hm</w:t>
      </w:r>
      <w:r>
        <w:rPr>
          <w:rFonts w:hint="eastAsia" w:hAnsi="仿宋"/>
          <w:szCs w:val="32"/>
          <w:shd w:val="clear" w:color="auto" w:fill="FFFFFF"/>
          <w:vertAlign w:val="superscript"/>
        </w:rPr>
        <w:t>2</w:t>
      </w:r>
      <w:r>
        <w:rPr>
          <w:rFonts w:hint="eastAsia" w:hAnsi="仿宋"/>
          <w:szCs w:val="32"/>
          <w:shd w:val="clear" w:color="auto" w:fill="FFFFFF"/>
        </w:rPr>
        <w:t>。</w:t>
      </w:r>
      <w:r>
        <w:rPr>
          <w:rFonts w:hint="eastAsia" w:hAnsi="仿宋"/>
        </w:rPr>
        <w:t>示范区以森林生态文化旅游为主导产业，集森林生态科普、森林花卉文化体验、森林花卉种质资源收集、森林康养休闲以及花卉产品生产销售等多种功能于一体。该示范区有效拉动了周边乡村旅游发展；并吸引了多家企业、合作社共同参与建设，直接带动劳务用工约500人，每人年均增收超2万元；间接带动周边农户发展农家乐、水果采摘、花卉培育、特色农林产品销售等约300家自营经济，每户年均增收超5万元。</w:t>
      </w:r>
    </w:p>
    <w:p>
      <w:pPr>
        <w:spacing w:line="240" w:lineRule="auto"/>
        <w:ind w:firstLine="643"/>
        <w:rPr>
          <w:rFonts w:hAnsi="仿宋"/>
          <w:b/>
          <w:bCs/>
          <w:sz w:val="24"/>
        </w:rPr>
      </w:pPr>
      <w:r>
        <w:rPr>
          <w:rFonts w:hint="eastAsia" w:hAnsi="仿宋"/>
          <w:b/>
          <w:bCs/>
        </w:rPr>
        <w:t>（二）功能定位</w:t>
      </w:r>
    </w:p>
    <w:p>
      <w:pPr>
        <w:spacing w:line="240" w:lineRule="auto"/>
        <w:ind w:firstLine="640"/>
        <w:rPr>
          <w:rFonts w:hAnsi="仿宋"/>
          <w:sz w:val="24"/>
        </w:rPr>
      </w:pPr>
      <w:r>
        <w:rPr>
          <w:rFonts w:hint="eastAsia" w:hAnsi="仿宋"/>
          <w:szCs w:val="32"/>
          <w:shd w:val="clear" w:color="auto" w:fill="FFFFFF"/>
        </w:rPr>
        <w:t>集森林康养、科普体验、休闲旅游等</w:t>
      </w:r>
      <w:r>
        <w:rPr>
          <w:rFonts w:hint="eastAsia" w:hAnsi="仿宋"/>
        </w:rPr>
        <w:t>功能的生态文化旅游示范区。</w:t>
      </w:r>
    </w:p>
    <w:p>
      <w:pPr>
        <w:spacing w:line="240" w:lineRule="auto"/>
        <w:ind w:firstLine="643"/>
        <w:rPr>
          <w:rFonts w:hAnsi="仿宋"/>
          <w:b/>
          <w:bCs/>
          <w:sz w:val="24"/>
        </w:rPr>
      </w:pPr>
      <w:r>
        <w:rPr>
          <w:rFonts w:hint="eastAsia" w:hAnsi="仿宋"/>
          <w:b/>
          <w:bCs/>
        </w:rPr>
        <w:t>（三）发展方向</w:t>
      </w:r>
    </w:p>
    <w:p>
      <w:pPr>
        <w:spacing w:line="240" w:lineRule="auto"/>
        <w:ind w:firstLine="643"/>
        <w:rPr>
          <w:rFonts w:hAnsi="仿宋"/>
        </w:rPr>
      </w:pPr>
      <w:r>
        <w:rPr>
          <w:rFonts w:hint="eastAsia" w:hAnsi="仿宋"/>
          <w:b/>
          <w:bCs/>
        </w:rPr>
        <w:t>一是</w:t>
      </w:r>
      <w:r>
        <w:rPr>
          <w:rFonts w:hint="eastAsia" w:hAnsi="仿宋"/>
        </w:rPr>
        <w:t>由三星级示范区升级成为四星级示范区。</w:t>
      </w:r>
      <w:r>
        <w:rPr>
          <w:rFonts w:hint="eastAsia" w:hAnsi="仿宋"/>
          <w:b/>
          <w:bCs/>
        </w:rPr>
        <w:t>二是</w:t>
      </w:r>
      <w:r>
        <w:rPr>
          <w:rFonts w:hint="eastAsia" w:hAnsi="仿宋"/>
        </w:rPr>
        <w:t>积极推进新品种研发、新技术应用、先进设备运用，拓展特色花卉苗木市场流通、配套服务的现代化特色花卉苗木产业链条，构成“生产、销售、服务于一体”的完整产业经营模式，通过提升完善休闲观光、乡村旅游项目扩大示范区知名度，带动示范区种植产业相关链条循环发展。</w:t>
      </w:r>
    </w:p>
    <w:p>
      <w:pPr>
        <w:spacing w:line="240" w:lineRule="auto"/>
        <w:ind w:firstLine="640"/>
        <w:rPr>
          <w:rFonts w:hAnsi="仿宋"/>
        </w:rPr>
      </w:pPr>
      <w:r>
        <w:rPr>
          <w:rFonts w:hint="eastAsia" w:hAnsi="仿宋"/>
        </w:rPr>
        <w:t>建设内容：开展新春花海和国庆花海节庆活动和卡丁车娱乐项目，在园区增加景观园林小品布置、园区夜景灯光和垂钓设施，新建沿江观光景观路、荷塘月色景观、兰花园空中景观平台、木本芳香园和紫薇园木亭，改造美化园区内2座旧水塔。</w:t>
      </w:r>
    </w:p>
    <w:p>
      <w:pPr>
        <w:spacing w:line="240" w:lineRule="auto"/>
        <w:ind w:firstLine="640"/>
        <w:rPr>
          <w:rFonts w:hAnsi="仿宋"/>
        </w:rPr>
      </w:pPr>
      <w:r>
        <w:rPr>
          <w:rFonts w:hint="eastAsia" w:hAnsi="仿宋"/>
        </w:rPr>
        <w:t>投资估算：共投入资金约6000万元。</w:t>
      </w:r>
    </w:p>
    <w:p>
      <w:pPr>
        <w:pStyle w:val="5"/>
        <w:spacing w:line="240" w:lineRule="auto"/>
        <w:ind w:firstLine="643"/>
      </w:pPr>
      <w:r>
        <w:rPr>
          <w:rFonts w:hint="eastAsia"/>
        </w:rPr>
        <w:t>十、钦州市钦南区菠萝蜜产业示范区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rPr>
          <w:rFonts w:hAnsi="仿宋"/>
          <w:szCs w:val="32"/>
          <w:shd w:val="clear" w:color="auto" w:fill="FFFFFF"/>
        </w:rPr>
      </w:pPr>
      <w:r>
        <w:rPr>
          <w:rFonts w:hint="eastAsia" w:hAnsi="仿宋"/>
          <w:szCs w:val="32"/>
          <w:shd w:val="clear" w:color="auto" w:fill="FFFFFF"/>
        </w:rPr>
        <w:t>示范区位于钦南区、灵山县、合浦县交界处的那思镇牛寮水村，主要发展菠萝蜜产业，分为核心区、拓展区和辐射区，其中核心区规划面积3000亩，拓展区面积约6000亩，辐射区面积20000亩。根据核心区现有产业基础、功能定位、资源条件等，科学布局各分区的功能以及自身的发展定位，凸显区块特色，形成基础条件与功能定位相匹配、产业发展与生态保护相协调的整体布局。以广东海洋大学、钦州市林业科学研究所等为技术支持，以广西夏宇农业有限公司为龙头企业，以政府鼓励政策带动农户种植积极性，以市场开拓拉动农产品深加工，以产品深加工拉动农户，形成“公司+基地+农户”的产业化经营模式。由公司与农户签订种植和产品收购合同，所有种植产品由公司保价收购，让农民无种植担忧，促进菠萝蜜生产的快速发展和良性循环，发展菠萝蜜产业示范区。</w:t>
      </w:r>
    </w:p>
    <w:p>
      <w:pPr>
        <w:spacing w:line="240" w:lineRule="auto"/>
        <w:ind w:firstLine="643"/>
        <w:rPr>
          <w:rFonts w:ascii="宋体" w:hAnsi="宋体"/>
          <w:b/>
          <w:bCs/>
          <w:sz w:val="24"/>
        </w:rPr>
      </w:pPr>
      <w:r>
        <w:rPr>
          <w:rFonts w:hint="eastAsia" w:ascii="Times New Roman"/>
          <w:b/>
          <w:bCs/>
        </w:rPr>
        <w:t>（二）</w:t>
      </w:r>
      <w:r>
        <w:rPr>
          <w:rFonts w:hint="eastAsia"/>
          <w:b/>
          <w:bCs/>
        </w:rPr>
        <w:t>功能定位</w:t>
      </w:r>
    </w:p>
    <w:p>
      <w:pPr>
        <w:spacing w:line="240" w:lineRule="auto"/>
        <w:ind w:firstLine="640"/>
      </w:pPr>
      <w:r>
        <w:rPr>
          <w:rFonts w:hint="eastAsia"/>
        </w:rPr>
        <w:t>生态绿色种植、加工、销售、自然景观、休闲观光于一体的菠萝蜜产业示范区。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由县级示范区升级成为四星级示范区。</w:t>
      </w:r>
      <w:r>
        <w:rPr>
          <w:rFonts w:hint="eastAsia"/>
          <w:b/>
          <w:bCs/>
        </w:rPr>
        <w:t>二是</w:t>
      </w:r>
      <w:r>
        <w:rPr>
          <w:rFonts w:hint="eastAsia"/>
        </w:rPr>
        <w:t>打造知名品牌，提高果品商业化水平；创建标准化种植园，推动菠萝蜜产业升级，提升菠萝蜜产业效益；品种登记，绿色食品、有机食品申报与认证，建立并不断完善产品质量追溯系统，不断提高果品质量安全水平，因地制宜，社会效益、经济效益、生态效益并重，生产绿色、有机菠萝蜜，打造成为广西及至全国最大的菠萝蜜生产基地，国家级菠萝蜜品种资源收集展示中心和全国区域性的菠萝蜜集散加工中心。</w:t>
      </w:r>
    </w:p>
    <w:p>
      <w:pPr>
        <w:spacing w:line="240" w:lineRule="auto"/>
        <w:ind w:firstLine="640"/>
      </w:pPr>
      <w:r>
        <w:rPr>
          <w:rFonts w:hint="eastAsia"/>
        </w:rPr>
        <w:t>建设内容：第一期完成核心区种植。利用夏宇公司苗圃先进育苗技术及种质资源，培育菠萝蜜种苗、在核心区建立菠萝蜜种植示范基地3000亩。第二期辐射带动。利用“公司+基地+农户”模式，以点带面辐射推广到2万亩，同时启动加工厂建设。第三期一二三产融合。在核心区建设相关配套设施，以一产、二产产值带动三产。</w:t>
      </w:r>
    </w:p>
    <w:p>
      <w:pPr>
        <w:spacing w:line="240" w:lineRule="auto"/>
        <w:ind w:firstLine="640"/>
      </w:pPr>
      <w:r>
        <w:rPr>
          <w:rFonts w:hint="eastAsia"/>
        </w:rPr>
        <w:t>投资估算：钦州市钦南区菠萝蜜产业示范区总投资6920万元，其中农业项目投入约4280万元，基础设施建设约投入2640万元，绿化环保投资103.8万元。</w:t>
      </w:r>
    </w:p>
    <w:p>
      <w:pPr>
        <w:pStyle w:val="5"/>
        <w:spacing w:line="240" w:lineRule="auto"/>
        <w:ind w:firstLine="643"/>
      </w:pPr>
      <w:r>
        <w:rPr>
          <w:rFonts w:hint="eastAsia"/>
        </w:rPr>
        <w:t>十一、钦北区九佰垌现代特色农业示范区</w:t>
      </w:r>
    </w:p>
    <w:p>
      <w:pPr>
        <w:spacing w:line="240" w:lineRule="auto"/>
        <w:ind w:firstLine="643"/>
        <w:rPr>
          <w:rFonts w:ascii="Times New Roman"/>
          <w:b/>
          <w:bCs/>
        </w:rPr>
      </w:pPr>
      <w:r>
        <w:rPr>
          <w:rFonts w:hint="eastAsia" w:ascii="Times New Roman"/>
          <w:b/>
          <w:bCs/>
        </w:rPr>
        <w:t>（一）项目概况</w:t>
      </w:r>
    </w:p>
    <w:p>
      <w:pPr>
        <w:spacing w:line="240" w:lineRule="auto"/>
        <w:ind w:firstLine="640"/>
        <w:rPr>
          <w:rFonts w:ascii="宋体" w:hAnsi="宋体" w:eastAsia="宋体"/>
          <w:sz w:val="24"/>
        </w:rPr>
      </w:pPr>
      <w:r>
        <w:rPr>
          <w:rFonts w:hint="eastAsia"/>
        </w:rPr>
        <w:t>钦北区九佰垌现代特色农业示范区（四星级）位于钦北区平吉镇九佰垌</w:t>
      </w:r>
      <w:r>
        <w:rPr>
          <w:rFonts w:hint="eastAsia" w:ascii="宋体" w:hAnsi="宋体" w:eastAsia="宋体"/>
          <w:sz w:val="24"/>
        </w:rPr>
        <w:t>，</w:t>
      </w:r>
      <w:r>
        <w:rPr>
          <w:rFonts w:hint="eastAsia"/>
        </w:rPr>
        <w:t>以火龙果、特色蔬菜等果蔬产业为主要产业，以休闲农业和富硒水稻产业为辅助产业，</w:t>
      </w:r>
      <w:r>
        <w:rPr>
          <w:rFonts w:hAnsi="仿宋"/>
        </w:rPr>
        <w:t>2015年</w:t>
      </w:r>
      <w:r>
        <w:rPr>
          <w:rFonts w:hint="eastAsia"/>
        </w:rPr>
        <w:t>开始创建，被自治区统一考评认定为</w:t>
      </w:r>
      <w:r>
        <w:rPr>
          <w:rFonts w:hAnsi="仿宋"/>
        </w:rPr>
        <w:t xml:space="preserve">2017 </w:t>
      </w:r>
      <w:r>
        <w:rPr>
          <w:rFonts w:hint="eastAsia"/>
        </w:rPr>
        <w:t>年度自治区四星级现代特色农业示范区。目前基本建成大面积标准化特色作物种植基地和休闲农业旅游基地。</w:t>
      </w:r>
    </w:p>
    <w:p>
      <w:pPr>
        <w:spacing w:line="240" w:lineRule="auto"/>
        <w:ind w:firstLine="643"/>
        <w:rPr>
          <w:rFonts w:ascii="Times New Roman"/>
          <w:b/>
          <w:bCs/>
        </w:rPr>
      </w:pPr>
      <w:r>
        <w:rPr>
          <w:rFonts w:hint="eastAsia" w:ascii="Times New Roman"/>
          <w:b/>
          <w:bCs/>
        </w:rPr>
        <w:t>（二）功能定位</w:t>
      </w:r>
    </w:p>
    <w:p>
      <w:pPr>
        <w:spacing w:line="240" w:lineRule="auto"/>
        <w:ind w:firstLine="640"/>
        <w:rPr>
          <w:rFonts w:ascii="宋体" w:hAnsi="宋体" w:eastAsia="宋体"/>
          <w:sz w:val="24"/>
        </w:rPr>
      </w:pPr>
      <w:r>
        <w:rPr>
          <w:rFonts w:hint="eastAsia"/>
        </w:rPr>
        <w:t>现代农业公园、乡村旅游区、现代农业科普、教育基地。</w:t>
      </w:r>
    </w:p>
    <w:p>
      <w:pPr>
        <w:spacing w:line="240" w:lineRule="auto"/>
        <w:ind w:firstLine="643"/>
        <w:rPr>
          <w:rFonts w:ascii="Times New Roman"/>
          <w:b/>
          <w:bCs/>
        </w:rPr>
      </w:pPr>
      <w:r>
        <w:rPr>
          <w:rFonts w:hint="eastAsia" w:ascii="Times New Roman"/>
          <w:b/>
          <w:bCs/>
        </w:rPr>
        <w:t>（三）发展方向</w:t>
      </w:r>
    </w:p>
    <w:p>
      <w:pPr>
        <w:spacing w:line="240" w:lineRule="auto"/>
        <w:ind w:firstLine="643"/>
      </w:pPr>
      <w:r>
        <w:rPr>
          <w:rFonts w:hint="eastAsia"/>
          <w:b/>
          <w:bCs/>
        </w:rPr>
        <w:t>一是</w:t>
      </w:r>
      <w:r>
        <w:rPr>
          <w:rFonts w:hint="eastAsia"/>
        </w:rPr>
        <w:t>由四星级示范区升级成为五星级示范区。</w:t>
      </w:r>
      <w:r>
        <w:rPr>
          <w:rFonts w:hint="eastAsia"/>
          <w:b/>
          <w:bCs/>
        </w:rPr>
        <w:t>二是</w:t>
      </w:r>
      <w:r>
        <w:rPr>
          <w:rFonts w:hint="eastAsia"/>
        </w:rPr>
        <w:t>完善的果蔬标准化高效种植体系，包括标准化种植、产期调节、水肥一体化高效灌溉、病虫害绿色防控体系、配方施肥与增施有机肥、果园机械化管理等内容三是加强产后初加工水平，探索推进果蔬精深加工，丰富产品体系，打造成为标准化生产水平高的现代特色农业示范区。</w:t>
      </w:r>
    </w:p>
    <w:p>
      <w:pPr>
        <w:spacing w:line="240" w:lineRule="auto"/>
        <w:ind w:firstLine="640"/>
        <w:rPr>
          <w:rFonts w:ascii="宋体" w:hAnsi="宋体" w:eastAsia="宋体"/>
          <w:sz w:val="24"/>
        </w:rPr>
      </w:pPr>
      <w:r>
        <w:rPr>
          <w:rFonts w:hint="eastAsia"/>
        </w:rPr>
        <w:t>建设内容：园区大门、文化广场、群众娱乐舞台、游客服务中心、培训大厅、农家乐、火龙果种植基地、特色水果种植基地、无公害蔬菜采摘园、新型温室大棚、农业科技馆、果蔬水肥自动化喷灌微灌设施系统、无自动遮阳网系统和恒温系统等项目设施。</w:t>
      </w:r>
    </w:p>
    <w:p>
      <w:pPr>
        <w:pStyle w:val="5"/>
        <w:spacing w:line="240" w:lineRule="auto"/>
        <w:ind w:firstLine="643"/>
      </w:pPr>
      <w:r>
        <w:rPr>
          <w:rFonts w:hint="eastAsia"/>
        </w:rPr>
        <w:t>十二、钦北区九联肉鸡产业核心示范区</w:t>
      </w:r>
    </w:p>
    <w:p>
      <w:pPr>
        <w:spacing w:line="240" w:lineRule="auto"/>
        <w:ind w:firstLine="643"/>
        <w:rPr>
          <w:rFonts w:ascii="宋体" w:hAnsi="宋体"/>
          <w:b/>
          <w:bCs/>
          <w:sz w:val="24"/>
        </w:rPr>
      </w:pPr>
      <w:r>
        <w:rPr>
          <w:rFonts w:hint="eastAsia" w:ascii="Times New Roman"/>
          <w:b/>
          <w:bCs/>
        </w:rPr>
        <w:t>（一）</w:t>
      </w:r>
      <w:r>
        <w:rPr>
          <w:rFonts w:hint="eastAsia"/>
          <w:b/>
          <w:bCs/>
        </w:rPr>
        <w:t>项目概况</w:t>
      </w:r>
    </w:p>
    <w:p>
      <w:pPr>
        <w:spacing w:line="240" w:lineRule="auto"/>
        <w:ind w:firstLine="640"/>
      </w:pPr>
      <w:r>
        <w:rPr>
          <w:rFonts w:hint="eastAsia"/>
        </w:rPr>
        <w:t>示范区的核心区位于钦北区大垌镇皇马工业园区和紫胶林场及周围，且建成肉鸡生产全产业链；拓展区主要位于钦北区大垌、青塘、板城、小董等乡镇；辐射区主要位于钦北区大垌、那蒙、大寺、大直等乡镇。示范区年出栏优质种鸡苗1600万羽、年出栏肉鸡1600万羽。肉鸡产业体现生态循环、绿色发展、科普体验、精准脱贫等要求，示范带动效应突出、经济效益良好。</w:t>
      </w:r>
    </w:p>
    <w:p>
      <w:pPr>
        <w:spacing w:line="240" w:lineRule="auto"/>
        <w:ind w:firstLine="643"/>
        <w:rPr>
          <w:rFonts w:ascii="Arial" w:hAnsi="Arial" w:cs="Arial"/>
          <w:shd w:val="clear" w:color="auto" w:fill="FFFFFF"/>
        </w:rPr>
      </w:pPr>
      <w:r>
        <w:rPr>
          <w:rFonts w:hint="eastAsia" w:ascii="Times New Roman"/>
          <w:b/>
          <w:bCs/>
        </w:rPr>
        <w:t>（二）</w:t>
      </w:r>
      <w:r>
        <w:rPr>
          <w:rFonts w:hint="eastAsia"/>
          <w:b/>
          <w:bCs/>
        </w:rPr>
        <w:t>功能定位</w:t>
      </w:r>
    </w:p>
    <w:p>
      <w:pPr>
        <w:spacing w:line="240" w:lineRule="auto"/>
        <w:ind w:firstLine="640"/>
        <w:rPr>
          <w:rFonts w:ascii="宋体" w:hAnsi="宋体" w:eastAsia="宋体"/>
          <w:sz w:val="24"/>
        </w:rPr>
      </w:pPr>
      <w:r>
        <w:rPr>
          <w:rFonts w:hint="eastAsia"/>
        </w:rPr>
        <w:t>禽畜业全产业链示范区。</w:t>
      </w:r>
    </w:p>
    <w:p>
      <w:pPr>
        <w:spacing w:line="240" w:lineRule="auto"/>
        <w:ind w:firstLine="643"/>
        <w:rPr>
          <w:rFonts w:ascii="宋体" w:hAnsi="宋体"/>
          <w:b/>
          <w:bCs/>
          <w:sz w:val="24"/>
        </w:rPr>
      </w:pPr>
      <w:r>
        <w:rPr>
          <w:rFonts w:hint="eastAsia" w:ascii="Times New Roman"/>
          <w:b/>
          <w:bCs/>
        </w:rPr>
        <w:t>（三）</w:t>
      </w:r>
      <w:r>
        <w:rPr>
          <w:rFonts w:hint="eastAsia"/>
          <w:b/>
          <w:bCs/>
        </w:rPr>
        <w:t>发展方向</w:t>
      </w:r>
    </w:p>
    <w:p>
      <w:pPr>
        <w:spacing w:line="240" w:lineRule="auto"/>
        <w:ind w:firstLine="643"/>
      </w:pPr>
      <w:r>
        <w:rPr>
          <w:rFonts w:hint="eastAsia"/>
          <w:b/>
          <w:bCs/>
        </w:rPr>
        <w:t>一是</w:t>
      </w:r>
      <w:r>
        <w:rPr>
          <w:rFonts w:hint="eastAsia"/>
        </w:rPr>
        <w:t>由三星级示范区升级成为四星级示范区。</w:t>
      </w:r>
      <w:r>
        <w:rPr>
          <w:rFonts w:hint="eastAsia"/>
          <w:b/>
          <w:bCs/>
        </w:rPr>
        <w:t>二是</w:t>
      </w:r>
      <w:r>
        <w:rPr>
          <w:rFonts w:hint="eastAsia"/>
        </w:rPr>
        <w:t>示范区形成种鸡场、孵化场、养殖场、饲料生产，肉鸡加工、销售、科研、科普教育一条龙全产业链。</w:t>
      </w:r>
      <w:r>
        <w:rPr>
          <w:rFonts w:hint="eastAsia"/>
          <w:b/>
          <w:bCs/>
        </w:rPr>
        <w:t>三是</w:t>
      </w:r>
      <w:r>
        <w:rPr>
          <w:rFonts w:hint="eastAsia"/>
        </w:rPr>
        <w:t>建设有肉鸡善宰加工厂，每日加工肉鸡5万羽，进行分类、包装、冷藏等的初加工处理，初级加工率达100%。饲料生产和肉鸡加工位于钦北区经济技术开发区食品加工产业园，加工厂实行现代化、标准化、自动化生产。四是加快建设熟食加工厂。</w:t>
      </w:r>
    </w:p>
    <w:p>
      <w:pPr>
        <w:spacing w:line="240" w:lineRule="auto"/>
        <w:ind w:firstLine="640"/>
        <w:rPr>
          <w:rFonts w:ascii="宋体" w:hAnsi="宋体" w:eastAsia="宋体"/>
          <w:sz w:val="24"/>
        </w:rPr>
      </w:pPr>
      <w:r>
        <w:rPr>
          <w:rFonts w:hint="eastAsia"/>
        </w:rPr>
        <w:t>建设内容：示范区内建成40亩饲料加工厂1个，种鸡养殖场6个共22栋双跨鸡舍，50亩现代化孵化厂1个，肉鸡养殖场15个共134栋鸡舍，187亩肉鸡善宰加工厂1个。正在加快建设熟食加工厂。</w:t>
      </w:r>
    </w:p>
    <w:p>
      <w:pPr>
        <w:pStyle w:val="5"/>
        <w:spacing w:line="240" w:lineRule="auto"/>
        <w:ind w:firstLine="643"/>
      </w:pPr>
      <w:r>
        <w:rPr>
          <w:rFonts w:hint="eastAsia"/>
        </w:rPr>
        <w:t>十三、钦北区娥眉湾现代休闲农业示范区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ascii="宋体" w:hAnsi="宋体" w:eastAsia="宋体"/>
          <w:sz w:val="24"/>
        </w:rPr>
      </w:pPr>
      <w:r>
        <w:rPr>
          <w:rFonts w:hint="eastAsia"/>
        </w:rPr>
        <w:t>钦北区娥眉湾现代休闲农业示范区（三星级）位于钦州市钦北区大寺镇南间村委那念岭江洞一带，有乡道、省道经门而过，连接高铁，交通便利，区位优势明显，是集旅游、休闲、养生、体验、生态教育、摄影基地为一体的综合性休闲示范区。</w:t>
      </w:r>
    </w:p>
    <w:p>
      <w:pPr>
        <w:spacing w:line="240" w:lineRule="auto"/>
        <w:ind w:firstLine="643"/>
        <w:rPr>
          <w:rFonts w:hAnsi="仿宋"/>
          <w:b/>
          <w:bCs/>
          <w:sz w:val="24"/>
        </w:rPr>
      </w:pPr>
      <w:r>
        <w:rPr>
          <w:rFonts w:hint="eastAsia" w:hAnsi="仿宋"/>
          <w:b/>
          <w:bCs/>
        </w:rPr>
        <w:t>（二）功能定位</w:t>
      </w:r>
    </w:p>
    <w:p>
      <w:pPr>
        <w:spacing w:line="240" w:lineRule="auto"/>
        <w:ind w:firstLine="640"/>
        <w:rPr>
          <w:rFonts w:ascii="宋体" w:hAnsi="宋体" w:eastAsia="宋体"/>
          <w:sz w:val="24"/>
        </w:rPr>
      </w:pPr>
      <w:r>
        <w:rPr>
          <w:rFonts w:hint="eastAsia"/>
        </w:rPr>
        <w:t>旅游、休闲、养生、体验、生态教育、摄影等综合性休闲示范区</w:t>
      </w:r>
    </w:p>
    <w:p>
      <w:pPr>
        <w:spacing w:line="240" w:lineRule="auto"/>
        <w:ind w:firstLine="643"/>
        <w:rPr>
          <w:rFonts w:hAnsi="仿宋"/>
          <w:b/>
          <w:bCs/>
          <w:sz w:val="24"/>
        </w:rPr>
      </w:pPr>
      <w:r>
        <w:rPr>
          <w:rFonts w:hint="eastAsia" w:hAnsi="仿宋"/>
          <w:b/>
          <w:bCs/>
        </w:rPr>
        <w:t>（三）发展方向</w:t>
      </w:r>
    </w:p>
    <w:p>
      <w:pPr>
        <w:spacing w:line="240" w:lineRule="auto"/>
        <w:ind w:firstLine="643"/>
      </w:pPr>
      <w:r>
        <w:rPr>
          <w:rFonts w:hint="eastAsia"/>
          <w:b/>
          <w:bCs/>
        </w:rPr>
        <w:t>一是</w:t>
      </w:r>
      <w:r>
        <w:rPr>
          <w:rFonts w:hint="eastAsia"/>
        </w:rPr>
        <w:t>由三星级示范区升级成为四星级示范区。</w:t>
      </w:r>
      <w:r>
        <w:rPr>
          <w:rFonts w:hint="eastAsia"/>
          <w:b/>
          <w:bCs/>
        </w:rPr>
        <w:t>二是</w:t>
      </w:r>
      <w:r>
        <w:rPr>
          <w:rFonts w:hint="eastAsia"/>
        </w:rPr>
        <w:t>持续推进标准化种植，加强农产品产后初加工水平，提升农产品仓储流通能力，完善提升翠湖田园休闲农业示范区配套功能设施建设，打造成为集休闲观光、旅游住宿、科普研学、亲子教育、文化体验于一体的现代化休闲农业示范区。</w:t>
      </w:r>
    </w:p>
    <w:p>
      <w:pPr>
        <w:spacing w:line="240" w:lineRule="auto"/>
        <w:ind w:firstLine="640"/>
        <w:rPr>
          <w:rFonts w:ascii="宋体" w:hAnsi="宋体" w:eastAsia="宋体"/>
          <w:sz w:val="24"/>
        </w:rPr>
      </w:pPr>
      <w:r>
        <w:rPr>
          <w:rFonts w:hint="eastAsia"/>
        </w:rPr>
        <w:t>建设内容：停车场、钦州坭兴陶柴窑展示厅、坭兴陶体验馆、宾馆、游泳池、山泉水沙滩浴场、沿江垂钓区、网球场、特色美食一条街、跑马园、茶艺室、孔雀观光区等。</w:t>
      </w:r>
    </w:p>
    <w:p>
      <w:pPr>
        <w:pStyle w:val="4"/>
        <w:spacing w:before="292" w:beforeLines="50" w:after="292" w:afterLines="50" w:line="240" w:lineRule="auto"/>
      </w:pPr>
      <w:bookmarkStart w:id="27" w:name="_Toc119667502"/>
      <w:r>
        <w:rPr>
          <w:rFonts w:hint="eastAsia"/>
        </w:rPr>
        <w:t>第三节 自治区级</w:t>
      </w:r>
      <w:r>
        <w:t>示范区</w:t>
      </w:r>
      <w:r>
        <w:rPr>
          <w:rFonts w:hint="eastAsia"/>
        </w:rPr>
        <w:t>创建</w:t>
      </w:r>
      <w:r>
        <w:t>重点项目</w:t>
      </w:r>
      <w:bookmarkEnd w:id="27"/>
    </w:p>
    <w:p>
      <w:pPr>
        <w:pStyle w:val="5"/>
        <w:spacing w:line="240" w:lineRule="auto"/>
        <w:ind w:firstLine="643"/>
      </w:pPr>
      <w:r>
        <w:rPr>
          <w:rFonts w:hint="eastAsia"/>
        </w:rPr>
        <w:t>一、灵山县珍珠木菠萝种植示范区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ascii="Times New Roman"/>
        </w:rPr>
      </w:pPr>
      <w:r>
        <w:rPr>
          <w:rFonts w:hint="eastAsia"/>
        </w:rPr>
        <w:t>灵山县珍珠木菠萝种植示范区位于灵山县伯劳镇，计划建设</w:t>
      </w:r>
      <w:r>
        <w:rPr>
          <w:rFonts w:hAnsi="仿宋"/>
        </w:rPr>
        <w:t>2000</w:t>
      </w:r>
      <w:r>
        <w:rPr>
          <w:rFonts w:hint="eastAsia"/>
        </w:rPr>
        <w:t>亩连片珍珠木菠萝标准种植基地，辐射带动全县</w:t>
      </w:r>
      <w:r>
        <w:rPr>
          <w:rFonts w:hAnsi="仿宋"/>
        </w:rPr>
        <w:t>10000</w:t>
      </w:r>
      <w:r>
        <w:rPr>
          <w:rFonts w:hint="eastAsia"/>
        </w:rPr>
        <w:t>亩的种植面积，建立苗木培育中心，木菠萝加工厂，到</w:t>
      </w:r>
      <w:r>
        <w:rPr>
          <w:rFonts w:hAnsi="仿宋"/>
        </w:rPr>
        <w:t>2023</w:t>
      </w:r>
      <w:r>
        <w:rPr>
          <w:rFonts w:hint="eastAsia"/>
        </w:rPr>
        <w:t>年整个产业达到</w:t>
      </w:r>
      <w:r>
        <w:rPr>
          <w:rFonts w:hAnsi="仿宋"/>
        </w:rPr>
        <w:t>5</w:t>
      </w:r>
      <w:r>
        <w:rPr>
          <w:rFonts w:hint="eastAsia"/>
        </w:rPr>
        <w:t>个亿以上。</w:t>
      </w:r>
    </w:p>
    <w:p>
      <w:pPr>
        <w:spacing w:line="240" w:lineRule="auto"/>
        <w:ind w:firstLine="643"/>
        <w:rPr>
          <w:rFonts w:hAnsi="仿宋"/>
          <w:b/>
          <w:bCs/>
        </w:rPr>
      </w:pPr>
      <w:r>
        <w:rPr>
          <w:rFonts w:hint="eastAsia" w:hAnsi="仿宋"/>
          <w:b/>
          <w:bCs/>
        </w:rPr>
        <w:t>（二）功能定位</w:t>
      </w:r>
    </w:p>
    <w:p>
      <w:pPr>
        <w:spacing w:line="240" w:lineRule="auto"/>
        <w:ind w:firstLine="640"/>
        <w:rPr>
          <w:rFonts w:ascii="宋体" w:hAnsi="宋体" w:eastAsia="宋体"/>
          <w:sz w:val="24"/>
        </w:rPr>
      </w:pPr>
      <w:r>
        <w:rPr>
          <w:rFonts w:hint="eastAsia"/>
        </w:rPr>
        <w:t>高效种植、加工配销、示范推广、科普培训、生态休闲</w:t>
      </w:r>
      <w:r>
        <w:rPr>
          <w:rFonts w:hint="eastAsia" w:ascii="仿宋_GB2312" w:eastAsia="仿宋_GB2312"/>
          <w:szCs w:val="32"/>
          <w:shd w:val="clear" w:color="auto" w:fill="FFFFFF"/>
        </w:rPr>
        <w:t>等</w:t>
      </w:r>
      <w:r>
        <w:rPr>
          <w:rFonts w:hint="eastAsia"/>
        </w:rPr>
        <w:t>功能的综合性示范区。</w:t>
      </w:r>
    </w:p>
    <w:p>
      <w:pPr>
        <w:spacing w:line="240" w:lineRule="auto"/>
        <w:ind w:firstLine="643"/>
        <w:rPr>
          <w:rFonts w:hAnsi="仿宋"/>
          <w:b/>
          <w:bCs/>
        </w:rPr>
      </w:pPr>
      <w:r>
        <w:rPr>
          <w:rFonts w:hint="eastAsia" w:hAnsi="仿宋"/>
          <w:b/>
          <w:bCs/>
        </w:rPr>
        <w:t>（三）发展方向</w:t>
      </w:r>
    </w:p>
    <w:p>
      <w:pPr>
        <w:spacing w:line="240" w:lineRule="auto"/>
        <w:ind w:firstLine="643"/>
        <w:rPr>
          <w:rFonts w:hAnsi="仿宋"/>
        </w:rPr>
      </w:pPr>
      <w:r>
        <w:rPr>
          <w:rFonts w:hint="eastAsia"/>
          <w:b/>
          <w:bCs/>
        </w:rPr>
        <w:t>一是</w:t>
      </w:r>
      <w:r>
        <w:rPr>
          <w:rFonts w:hint="eastAsia"/>
        </w:rPr>
        <w:t>建设果蔬标准化高效种植体系，包括标准化种植、产期调节、配方施肥与增施有机肥、果园机械化管理等内容。</w:t>
      </w:r>
      <w:r>
        <w:rPr>
          <w:rFonts w:hint="eastAsia"/>
          <w:b/>
          <w:bCs/>
        </w:rPr>
        <w:t>二是</w:t>
      </w:r>
      <w:r>
        <w:rPr>
          <w:rFonts w:hint="eastAsia"/>
        </w:rPr>
        <w:t>加强产后初加工水平，探索推进果蔬精深加工，丰富产品体系，打造成为标准化生产水</w:t>
      </w:r>
      <w:r>
        <w:rPr>
          <w:rFonts w:hint="eastAsia" w:hAnsi="仿宋"/>
        </w:rPr>
        <w:t>平高的现代特色农业示范区。</w:t>
      </w:r>
    </w:p>
    <w:p>
      <w:pPr>
        <w:spacing w:line="240" w:lineRule="auto"/>
        <w:ind w:firstLine="640"/>
        <w:rPr>
          <w:rFonts w:hAnsi="仿宋"/>
        </w:rPr>
      </w:pPr>
      <w:r>
        <w:rPr>
          <w:rFonts w:hint="eastAsia" w:hAnsi="仿宋"/>
        </w:rPr>
        <w:t>建设内容：计划建设</w:t>
      </w:r>
      <w:r>
        <w:rPr>
          <w:rFonts w:hAnsi="仿宋"/>
        </w:rPr>
        <w:t>2000</w:t>
      </w:r>
      <w:r>
        <w:rPr>
          <w:rFonts w:hint="eastAsia" w:hAnsi="仿宋"/>
        </w:rPr>
        <w:t>亩连片珍珠木菠萝标准种植基地，建立苗木培育中心，木菠萝加工厂等项目。</w:t>
      </w:r>
    </w:p>
    <w:p>
      <w:pPr>
        <w:spacing w:line="240" w:lineRule="auto"/>
        <w:ind w:firstLine="640"/>
        <w:rPr>
          <w:rFonts w:hAnsi="仿宋"/>
          <w:sz w:val="24"/>
        </w:rPr>
      </w:pPr>
      <w:r>
        <w:rPr>
          <w:rFonts w:hint="eastAsia" w:hAnsi="仿宋"/>
        </w:rPr>
        <w:t>投资估算：建设期间示范区总投资为</w:t>
      </w:r>
      <w:r>
        <w:rPr>
          <w:rFonts w:hAnsi="仿宋"/>
          <w:kern w:val="0"/>
          <w:sz w:val="28"/>
          <w:szCs w:val="28"/>
        </w:rPr>
        <w:t>1500</w:t>
      </w:r>
      <w:r>
        <w:rPr>
          <w:rFonts w:hint="eastAsia" w:hAnsi="仿宋"/>
        </w:rPr>
        <w:t>万元。</w:t>
      </w:r>
    </w:p>
    <w:p>
      <w:pPr>
        <w:pStyle w:val="5"/>
        <w:spacing w:line="240" w:lineRule="auto"/>
        <w:ind w:firstLine="643"/>
        <w:rPr>
          <w:rFonts w:ascii="Times New Roman"/>
        </w:rPr>
      </w:pPr>
      <w:r>
        <w:rPr>
          <w:rFonts w:hint="eastAsia"/>
        </w:rPr>
        <w:t>二、灵山县伯劳镇邓阳湖农业生态旅游示范区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ascii="Times New Roman"/>
        </w:rPr>
      </w:pPr>
      <w:r>
        <w:rPr>
          <w:rFonts w:hint="eastAsia"/>
        </w:rPr>
        <w:t>灵山县伯劳镇邓阳湖农业生态旅游示范区位于灵山县伯劳镇，拟建设景区门及对应进景区道路；建设停车场；凉亭、休闲乐园；农家乐、休闲山庄、旅馆餐厅；自行车慢骑道、环湖步道及湖中观景台等。</w:t>
      </w:r>
    </w:p>
    <w:p>
      <w:pPr>
        <w:spacing w:line="240" w:lineRule="auto"/>
        <w:ind w:firstLine="643"/>
        <w:rPr>
          <w:rFonts w:hAnsi="仿宋"/>
          <w:b/>
          <w:bCs/>
        </w:rPr>
      </w:pPr>
      <w:r>
        <w:rPr>
          <w:rFonts w:hint="eastAsia" w:hAnsi="仿宋"/>
          <w:b/>
          <w:bCs/>
        </w:rPr>
        <w:t>（二）功能定位</w:t>
      </w:r>
    </w:p>
    <w:p>
      <w:pPr>
        <w:spacing w:line="240" w:lineRule="auto"/>
        <w:ind w:firstLine="640"/>
        <w:rPr>
          <w:rFonts w:ascii="宋体" w:hAnsi="宋体" w:eastAsia="宋体"/>
          <w:sz w:val="24"/>
        </w:rPr>
      </w:pPr>
      <w:r>
        <w:rPr>
          <w:rFonts w:hint="eastAsia"/>
        </w:rPr>
        <w:t>休闲、旅游、养生、体验等综合性休闲示范区</w:t>
      </w:r>
    </w:p>
    <w:p>
      <w:pPr>
        <w:spacing w:line="240" w:lineRule="auto"/>
        <w:ind w:firstLine="643"/>
        <w:rPr>
          <w:rFonts w:hAnsi="仿宋"/>
          <w:b/>
          <w:bCs/>
        </w:rPr>
      </w:pPr>
      <w:r>
        <w:rPr>
          <w:rFonts w:hint="eastAsia" w:hAnsi="仿宋"/>
          <w:b/>
          <w:bCs/>
        </w:rPr>
        <w:t>（三）发展方向</w:t>
      </w:r>
    </w:p>
    <w:p>
      <w:pPr>
        <w:spacing w:line="240" w:lineRule="auto"/>
        <w:ind w:firstLine="643"/>
      </w:pPr>
      <w:r>
        <w:rPr>
          <w:rFonts w:hint="eastAsia"/>
          <w:b/>
          <w:bCs/>
        </w:rPr>
        <w:t>一是</w:t>
      </w:r>
      <w:r>
        <w:t>深入挖掘当地文化内涵，积极塑造旅游主导产品和系列辅助产品，使旅游成为文化的载体、文化成为旅游的灵魂</w:t>
      </w:r>
      <w:r>
        <w:rPr>
          <w:rFonts w:hint="eastAsia"/>
        </w:rPr>
        <w:t>，</w:t>
      </w:r>
      <w:r>
        <w:t>满足旅游者的深层次精神文化需求。</w:t>
      </w:r>
      <w:r>
        <w:rPr>
          <w:rFonts w:hint="eastAsia"/>
          <w:b/>
          <w:bCs/>
        </w:rPr>
        <w:t>二是</w:t>
      </w:r>
      <w:r>
        <w:rPr>
          <w:rFonts w:hint="eastAsia"/>
        </w:rPr>
        <w:t>加强</w:t>
      </w:r>
      <w:r>
        <w:t>旅游与农业融合</w:t>
      </w:r>
      <w:r>
        <w:rPr>
          <w:rFonts w:hint="eastAsia"/>
        </w:rPr>
        <w:t>，具体</w:t>
      </w:r>
      <w:r>
        <w:t>表现为休闲农业、观光农业和体验农业等形式。</w:t>
      </w:r>
    </w:p>
    <w:p>
      <w:pPr>
        <w:spacing w:line="240" w:lineRule="auto"/>
        <w:ind w:firstLine="640"/>
        <w:rPr>
          <w:rFonts w:ascii="Times New Roman"/>
        </w:rPr>
      </w:pPr>
      <w:r>
        <w:rPr>
          <w:rFonts w:hint="eastAsia"/>
        </w:rPr>
        <w:t>建设内容：拟建设景区门及对应进景区道路；建设停车场；凉亭、休闲乐园；农家乐、休闲山庄、旅馆餐厅；自行车慢骑道、环湖步道及湖中观景台等项目。</w:t>
      </w:r>
    </w:p>
    <w:p>
      <w:pPr>
        <w:spacing w:line="240" w:lineRule="auto"/>
        <w:ind w:firstLine="640"/>
        <w:rPr>
          <w:rFonts w:ascii="宋体" w:hAnsi="宋体" w:eastAsia="宋体"/>
          <w:sz w:val="24"/>
        </w:rPr>
      </w:pPr>
      <w:r>
        <w:rPr>
          <w:rFonts w:hint="eastAsia"/>
        </w:rPr>
        <w:t>投资估算：建设期间示范区总投资为</w:t>
      </w:r>
      <w:r>
        <w:t>1000</w:t>
      </w:r>
      <w:r>
        <w:rPr>
          <w:rFonts w:hint="eastAsia"/>
        </w:rPr>
        <w:t>万元。</w:t>
      </w:r>
    </w:p>
    <w:p>
      <w:pPr>
        <w:pStyle w:val="5"/>
        <w:spacing w:line="240" w:lineRule="auto"/>
        <w:ind w:firstLine="643"/>
        <w:rPr>
          <w:rFonts w:ascii="Times New Roman"/>
        </w:rPr>
      </w:pPr>
      <w:r>
        <w:rPr>
          <w:rFonts w:hint="eastAsia"/>
        </w:rPr>
        <w:t>三、灵山县果苗培育示范区</w:t>
      </w:r>
    </w:p>
    <w:p>
      <w:pPr>
        <w:spacing w:line="240" w:lineRule="auto"/>
        <w:ind w:firstLine="643"/>
        <w:rPr>
          <w:rFonts w:hAnsi="仿宋"/>
          <w:b/>
          <w:bCs/>
          <w:sz w:val="24"/>
        </w:rPr>
      </w:pPr>
      <w:r>
        <w:rPr>
          <w:rFonts w:hint="eastAsia" w:hAnsi="仿宋"/>
          <w:b/>
          <w:bCs/>
        </w:rPr>
        <w:t>（一）项目概况</w:t>
      </w:r>
    </w:p>
    <w:p>
      <w:pPr>
        <w:spacing w:line="240" w:lineRule="auto"/>
        <w:ind w:firstLine="640"/>
      </w:pPr>
      <w:r>
        <w:rPr>
          <w:rFonts w:hint="eastAsia"/>
        </w:rPr>
        <w:t>灵山县果苗培育示范区位于灵山县伯劳镇，拟建设高标准果苗工厂化示范育苗大棚300亩、10000亩标准育苗基地、果苗科普教育基地及中国果苗交易中心及配套设施等，打造广西乃至全国著名的果苗集散地，促进农业农村发展，农民增收。</w:t>
      </w:r>
    </w:p>
    <w:p>
      <w:pPr>
        <w:spacing w:line="240" w:lineRule="auto"/>
        <w:ind w:firstLine="643"/>
        <w:rPr>
          <w:rFonts w:hAnsi="仿宋"/>
          <w:b/>
          <w:bCs/>
        </w:rPr>
      </w:pPr>
      <w:r>
        <w:rPr>
          <w:rFonts w:hint="eastAsia" w:hAnsi="仿宋"/>
          <w:b/>
          <w:bCs/>
        </w:rPr>
        <w:t>（二）功能定位</w:t>
      </w:r>
    </w:p>
    <w:p>
      <w:pPr>
        <w:spacing w:line="240" w:lineRule="auto"/>
        <w:ind w:firstLine="640"/>
        <w:rPr>
          <w:rFonts w:ascii="宋体" w:hAnsi="宋体" w:eastAsia="宋体"/>
          <w:sz w:val="24"/>
        </w:rPr>
      </w:pPr>
      <w:r>
        <w:rPr>
          <w:rFonts w:hint="eastAsia"/>
        </w:rPr>
        <w:t>集科技示范、绿色种植、休闲体验等功能的特色农业示范区</w:t>
      </w:r>
    </w:p>
    <w:p>
      <w:pPr>
        <w:spacing w:line="240" w:lineRule="auto"/>
        <w:ind w:firstLine="643"/>
        <w:rPr>
          <w:rFonts w:hAnsi="仿宋"/>
          <w:b/>
          <w:bCs/>
        </w:rPr>
      </w:pPr>
      <w:r>
        <w:rPr>
          <w:rFonts w:hint="eastAsia" w:hAnsi="仿宋"/>
          <w:b/>
          <w:bCs/>
        </w:rPr>
        <w:t>（三）发展方向</w:t>
      </w:r>
    </w:p>
    <w:p>
      <w:pPr>
        <w:spacing w:line="240" w:lineRule="auto"/>
        <w:ind w:firstLine="640"/>
      </w:pPr>
      <w:r>
        <w:rPr>
          <w:rFonts w:hint="eastAsia"/>
        </w:rPr>
        <w:t>积极推进新品种研发、新技术应用、先进设备运用，拓展特色苗木市场流通、配套服务的特色农业现代化苗木产业链条，构成“生产、销售、服务于一体”的完整产业经营模式。</w:t>
      </w:r>
    </w:p>
    <w:p>
      <w:pPr>
        <w:spacing w:line="240" w:lineRule="auto"/>
        <w:ind w:firstLine="640"/>
        <w:rPr>
          <w:rFonts w:ascii="Times New Roman"/>
        </w:rPr>
      </w:pPr>
      <w:r>
        <w:rPr>
          <w:rFonts w:hint="eastAsia"/>
        </w:rPr>
        <w:t>建设内容：高标准果苗工厂化示范育苗大棚300亩、10000亩标准育苗基地、果苗科普教育基地及中国果苗交易中心及配套设施等项目。</w:t>
      </w:r>
    </w:p>
    <w:p>
      <w:pPr>
        <w:spacing w:line="240" w:lineRule="auto"/>
        <w:ind w:firstLine="640"/>
        <w:rPr>
          <w:rFonts w:hAnsi="仿宋"/>
        </w:rPr>
      </w:pPr>
      <w:r>
        <w:rPr>
          <w:rFonts w:hint="eastAsia"/>
        </w:rPr>
        <w:t>投资估算：</w:t>
      </w:r>
      <w:r>
        <w:rPr>
          <w:rFonts w:hint="eastAsia" w:hAnsi="仿宋"/>
        </w:rPr>
        <w:t>建设期间示范区总投资为</w:t>
      </w:r>
      <w:r>
        <w:rPr>
          <w:rFonts w:hAnsi="仿宋"/>
          <w:kern w:val="0"/>
          <w:sz w:val="28"/>
          <w:szCs w:val="28"/>
        </w:rPr>
        <w:t>7000</w:t>
      </w:r>
      <w:r>
        <w:rPr>
          <w:rFonts w:hint="eastAsia" w:hAnsi="仿宋"/>
        </w:rPr>
        <w:t>万元。</w:t>
      </w:r>
    </w:p>
    <w:p>
      <w:pPr>
        <w:pStyle w:val="5"/>
        <w:spacing w:line="240" w:lineRule="auto"/>
        <w:ind w:firstLine="643"/>
      </w:pPr>
      <w:r>
        <w:rPr>
          <w:rFonts w:hint="eastAsia"/>
        </w:rPr>
        <w:t>四、广西华胥灵山县奶水牛养殖示范区</w:t>
      </w:r>
    </w:p>
    <w:p>
      <w:pPr>
        <w:spacing w:line="240" w:lineRule="auto"/>
        <w:ind w:firstLine="643"/>
        <w:rPr>
          <w:rFonts w:hAnsi="仿宋"/>
          <w:b/>
          <w:bCs/>
          <w:sz w:val="24"/>
        </w:rPr>
      </w:pPr>
      <w:r>
        <w:rPr>
          <w:rFonts w:hint="eastAsia" w:hAnsi="仿宋"/>
          <w:b/>
          <w:bCs/>
        </w:rPr>
        <w:t>（一）项目概况</w:t>
      </w:r>
    </w:p>
    <w:p>
      <w:pPr>
        <w:spacing w:line="240" w:lineRule="auto"/>
        <w:ind w:firstLine="640"/>
      </w:pPr>
      <w:r>
        <w:rPr>
          <w:rFonts w:hint="eastAsia"/>
        </w:rPr>
        <w:t>广西华胥灵山县奶水牛养殖示范区位于灵山县伯劳镇，拟建设标准化生态牛舍9600平方米，隔离区400平方米，仓库720平方米，办公管理用房600平方米，辅助设施1项（含更衣、消毒室，道路绿化等配套设施）建成后年存栏奶水牛1200头。</w:t>
      </w:r>
    </w:p>
    <w:p>
      <w:pPr>
        <w:spacing w:line="240" w:lineRule="auto"/>
        <w:ind w:firstLine="643"/>
        <w:rPr>
          <w:rFonts w:hAnsi="仿宋"/>
          <w:b/>
          <w:bCs/>
        </w:rPr>
      </w:pPr>
      <w:r>
        <w:rPr>
          <w:rFonts w:hint="eastAsia" w:hAnsi="仿宋"/>
          <w:b/>
          <w:bCs/>
        </w:rPr>
        <w:t>（二）功能定位</w:t>
      </w:r>
    </w:p>
    <w:p>
      <w:pPr>
        <w:spacing w:line="240" w:lineRule="auto"/>
        <w:ind w:firstLine="640"/>
        <w:rPr>
          <w:rFonts w:ascii="宋体" w:hAnsi="宋体" w:eastAsia="宋体"/>
          <w:sz w:val="24"/>
        </w:rPr>
      </w:pPr>
      <w:r>
        <w:rPr>
          <w:rFonts w:hint="eastAsia"/>
        </w:rPr>
        <w:t>集科技示范、绿色种植、休闲体验等功能的特色农业示范区</w:t>
      </w:r>
    </w:p>
    <w:p>
      <w:pPr>
        <w:spacing w:line="240" w:lineRule="auto"/>
        <w:ind w:firstLine="643"/>
        <w:rPr>
          <w:rFonts w:hAnsi="仿宋"/>
          <w:b/>
          <w:bCs/>
        </w:rPr>
      </w:pPr>
      <w:r>
        <w:rPr>
          <w:rFonts w:hint="eastAsia" w:hAnsi="仿宋"/>
          <w:b/>
          <w:bCs/>
        </w:rPr>
        <w:t>（三）发展方向</w:t>
      </w:r>
    </w:p>
    <w:p>
      <w:pPr>
        <w:spacing w:line="240" w:lineRule="auto"/>
        <w:ind w:firstLine="643"/>
      </w:pPr>
      <w:r>
        <w:rPr>
          <w:rFonts w:hint="eastAsia"/>
          <w:b/>
          <w:bCs/>
        </w:rPr>
        <w:t>一是</w:t>
      </w:r>
      <w:r>
        <w:rPr>
          <w:rFonts w:hint="eastAsia"/>
        </w:rPr>
        <w:t>大力发展“</w:t>
      </w:r>
      <w:r>
        <w:t>以养带种、以种促养、种养联动”生态良性循环的养殖模式，推动奶水牛业向规模化、标准化、优质化和产业化发展。</w:t>
      </w:r>
      <w:r>
        <w:rPr>
          <w:b/>
          <w:bCs/>
        </w:rPr>
        <w:t>二是</w:t>
      </w:r>
      <w:r>
        <w:rPr>
          <w:rFonts w:hint="eastAsia"/>
        </w:rPr>
        <w:t>培育</w:t>
      </w:r>
      <w:r>
        <w:t>牛群规模，养殖效益，优化牛群结构，择优进行挤奶调教，着手培育高性能产奶个体，充分挖掘奶水牛的经济价值。</w:t>
      </w:r>
      <w:r>
        <w:rPr>
          <w:rFonts w:hint="eastAsia"/>
          <w:b/>
          <w:bCs/>
        </w:rPr>
        <w:t>三是</w:t>
      </w:r>
      <w:r>
        <w:t>除了满足公司本身奶水牛的需求外，还应该扩大奶水牛养殖规模，充分利用当地的特色资源和乡村振兴项目，发动周边村屯群众发展奶水牛养殖，将该项目打造成当地现代特色农业示范区。</w:t>
      </w:r>
    </w:p>
    <w:p>
      <w:pPr>
        <w:spacing w:line="240" w:lineRule="auto"/>
        <w:ind w:firstLine="640"/>
      </w:pPr>
      <w:r>
        <w:rPr>
          <w:rFonts w:hint="eastAsia"/>
        </w:rPr>
        <w:t>建设内容：建设标准化生态牛舍9600平方米，隔离区400平方米，仓库720平方米，办公管理用房600平方米，辅助设施等项目。</w:t>
      </w:r>
    </w:p>
    <w:p>
      <w:pPr>
        <w:pStyle w:val="5"/>
        <w:spacing w:line="240" w:lineRule="auto"/>
        <w:ind w:firstLine="643"/>
      </w:pPr>
      <w:r>
        <w:rPr>
          <w:rFonts w:hint="eastAsia"/>
        </w:rPr>
        <w:t>五、灵山县玉兰花产业现代化示范区</w:t>
      </w:r>
    </w:p>
    <w:p>
      <w:pPr>
        <w:spacing w:line="240" w:lineRule="auto"/>
        <w:ind w:firstLine="643"/>
        <w:rPr>
          <w:rFonts w:hAnsi="仿宋"/>
          <w:b/>
          <w:bCs/>
          <w:sz w:val="24"/>
        </w:rPr>
      </w:pPr>
      <w:r>
        <w:rPr>
          <w:rFonts w:hint="eastAsia" w:hAnsi="仿宋"/>
          <w:b/>
          <w:bCs/>
        </w:rPr>
        <w:t>（一）项目概况</w:t>
      </w:r>
    </w:p>
    <w:p>
      <w:pPr>
        <w:spacing w:line="240" w:lineRule="auto"/>
        <w:ind w:firstLine="640"/>
      </w:pPr>
      <w:r>
        <w:rPr>
          <w:rFonts w:hint="eastAsia"/>
        </w:rPr>
        <w:t>灵山县玉兰花产业现代化示范区位于广西钦州城乡融合发展试验区灵山片区的伯劳镇盆山村内，2017年获认定为灵山县现代特色农业乡级示范园，经过几年提档升级，目前示范区核心区白玉兰种植面积达到3500亩，受益人口达3000多人,辐射周边2个乡镇，8个行政村（即伯劳镇箔竹、彭屋、六槛、良坪、灵塘、埤肚、大平、泥桥村委）达到8000多亩，仅盆山村年产玉兰花鲜花2000吨，主要的加工产品有玉兰花（叶）精油、纯露。</w:t>
      </w:r>
    </w:p>
    <w:p>
      <w:pPr>
        <w:spacing w:line="240" w:lineRule="auto"/>
        <w:ind w:firstLine="643"/>
        <w:rPr>
          <w:rFonts w:hAnsi="仿宋"/>
          <w:b/>
          <w:bCs/>
        </w:rPr>
      </w:pPr>
      <w:r>
        <w:rPr>
          <w:rFonts w:hint="eastAsia" w:hAnsi="仿宋"/>
          <w:b/>
          <w:bCs/>
        </w:rPr>
        <w:t>（二）功能定位</w:t>
      </w:r>
    </w:p>
    <w:p>
      <w:pPr>
        <w:spacing w:line="240" w:lineRule="auto"/>
        <w:ind w:firstLine="640"/>
        <w:rPr>
          <w:rFonts w:ascii="仿宋_GB2312" w:hAnsi="仿宋_GB2312" w:eastAsia="仿宋_GB2312" w:cs="仿宋_GB2312"/>
          <w:kern w:val="0"/>
          <w:szCs w:val="32"/>
        </w:rPr>
      </w:pPr>
      <w:r>
        <w:rPr>
          <w:rFonts w:hint="eastAsia" w:ascii="仿宋_GB2312" w:hAnsi="仿宋_GB2312" w:eastAsia="仿宋_GB2312" w:cs="仿宋_GB2312"/>
          <w:kern w:val="0"/>
          <w:szCs w:val="32"/>
        </w:rPr>
        <w:t>集</w:t>
      </w:r>
      <w:r>
        <w:rPr>
          <w:rFonts w:hint="eastAsia"/>
        </w:rPr>
        <w:t>科技示范、绿色种植、休闲体验为一体的现代特色</w:t>
      </w:r>
      <w:r>
        <w:rPr>
          <w:rFonts w:hint="eastAsia" w:ascii="仿宋_GB2312" w:hAnsi="仿宋_GB2312" w:eastAsia="仿宋_GB2312" w:cs="仿宋_GB2312"/>
          <w:kern w:val="0"/>
          <w:szCs w:val="32"/>
        </w:rPr>
        <w:t>示范区。</w:t>
      </w:r>
    </w:p>
    <w:p>
      <w:pPr>
        <w:spacing w:line="240" w:lineRule="auto"/>
        <w:ind w:firstLine="643"/>
        <w:rPr>
          <w:rFonts w:hAnsi="仿宋"/>
          <w:b/>
          <w:bCs/>
        </w:rPr>
      </w:pPr>
      <w:r>
        <w:rPr>
          <w:rFonts w:hint="eastAsia" w:hAnsi="仿宋"/>
          <w:b/>
          <w:bCs/>
        </w:rPr>
        <w:t>（三）发展方向</w:t>
      </w:r>
    </w:p>
    <w:p>
      <w:pPr>
        <w:spacing w:line="240" w:lineRule="auto"/>
        <w:ind w:firstLine="640"/>
      </w:pPr>
      <w:r>
        <w:rPr>
          <w:rFonts w:hint="eastAsia"/>
        </w:rPr>
        <w:t>下一步将按照规划推进</w:t>
      </w:r>
      <w:r>
        <w:t>二期</w:t>
      </w:r>
      <w:r>
        <w:rPr>
          <w:rFonts w:hint="eastAsia"/>
        </w:rPr>
        <w:t>建设，进一步完善玉兰花全产业链，把示范区建设成为自治区级现代特色农业示范区。</w:t>
      </w:r>
      <w:r>
        <w:rPr>
          <w:rFonts w:hint="eastAsia"/>
          <w:b/>
          <w:bCs/>
        </w:rPr>
        <w:t>一是</w:t>
      </w:r>
      <w:r>
        <w:rPr>
          <w:rFonts w:hint="eastAsia"/>
        </w:rPr>
        <w:t>示范区扩面升级，继续推动“林改”，发展500亩连片化标准化种植，通过修建观景亭、入园步道、特色灯饰等景观设施，建设入村道路沿线14公里白玉兰景观带，加大乡村风貌建设力度等提升示范区整体品质品味；</w:t>
      </w:r>
      <w:r>
        <w:rPr>
          <w:rFonts w:hint="eastAsia"/>
          <w:b/>
          <w:bCs/>
        </w:rPr>
        <w:t>二是</w:t>
      </w:r>
      <w:r>
        <w:rPr>
          <w:rFonts w:hint="eastAsia"/>
        </w:rPr>
        <w:t>强化深加工，提升和改善玉兰花加工设备，加强与科研院所等的合作大力研发加工新品，如玉兰花驱蚊露、玉兰花红茶、玉兰花甜点（酒水）、玉兰花沐浴露等，提升产业附加值；</w:t>
      </w:r>
      <w:r>
        <w:rPr>
          <w:rFonts w:hint="eastAsia"/>
          <w:b/>
          <w:bCs/>
        </w:rPr>
        <w:t>三是</w:t>
      </w:r>
      <w:r>
        <w:rPr>
          <w:rFonts w:hint="eastAsia"/>
        </w:rPr>
        <w:t>加大品牌建设力度，把玉兰花产业打造成为知名度大、市场竞争力强、具有地方特色的芳香产业；</w:t>
      </w:r>
      <w:r>
        <w:rPr>
          <w:rFonts w:hint="eastAsia"/>
          <w:b/>
          <w:bCs/>
        </w:rPr>
        <w:t>四是</w:t>
      </w:r>
      <w:r>
        <w:rPr>
          <w:rFonts w:hint="eastAsia"/>
        </w:rPr>
        <w:t>拓宽鲜花销售渠道，在巩固“北上”线路（成都）的基础上，打通收购、运输渠道的堵点，开发拓展“南下”线路（广州），确保销售终端的车头发挥明显的带动作用；</w:t>
      </w:r>
      <w:r>
        <w:rPr>
          <w:rFonts w:hint="eastAsia"/>
          <w:b/>
          <w:bCs/>
        </w:rPr>
        <w:t>五是</w:t>
      </w:r>
      <w:r>
        <w:rPr>
          <w:rFonts w:hint="eastAsia"/>
        </w:rPr>
        <w:t>进一步探索“公司+合作社+基地+农户+科研”深度融合方案，完善紧密型农企研利益联结模式，撮合多主体合作抱团，促进良性生产要素融合集聚，推广代管代摘的种采分离模式，催化玉兰花产业发展新动能，努力朝着强龙头、补链条、聚集群、壮规模、见效益的目标奋进，让特色产业出花、出彩。</w:t>
      </w:r>
    </w:p>
    <w:p>
      <w:pPr>
        <w:pStyle w:val="5"/>
        <w:spacing w:line="240" w:lineRule="auto"/>
        <w:ind w:firstLine="643"/>
      </w:pPr>
      <w:r>
        <w:rPr>
          <w:rFonts w:hint="eastAsia"/>
        </w:rPr>
        <w:t>五、浦北县越州黑猪产业示范区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ascii="仿宋_GB2312" w:hAnsi="仿宋_GB2312" w:eastAsia="仿宋_GB2312" w:cs="仿宋_GB2312"/>
          <w:kern w:val="0"/>
          <w:szCs w:val="32"/>
        </w:rPr>
      </w:pPr>
      <w:r>
        <w:rPr>
          <w:rFonts w:hint="eastAsia" w:ascii="仿宋_GB2312" w:hAnsi="仿宋_GB2312" w:eastAsia="仿宋_GB2312" w:cs="仿宋_GB2312"/>
          <w:kern w:val="0"/>
          <w:szCs w:val="32"/>
        </w:rPr>
        <w:t>核心区建设地点在浦北县泉水镇，主导产业是浦北黑猪养殖加工；</w:t>
      </w:r>
      <w:r>
        <w:rPr>
          <w:shd w:val="clear" w:color="auto" w:fill="FFFFFF"/>
        </w:rPr>
        <w:t>该示范区规划面积3000亩，其中核心区1000亩、拓展区2000亩，构建</w:t>
      </w:r>
      <w:r>
        <w:rPr>
          <w:rFonts w:hint="eastAsia"/>
          <w:shd w:val="clear" w:color="auto" w:fill="FFFFFF"/>
        </w:rPr>
        <w:t>“</w:t>
      </w:r>
      <w:r>
        <w:rPr>
          <w:shd w:val="clear" w:color="auto" w:fill="FFFFFF"/>
        </w:rPr>
        <w:t>四区一带一中心</w:t>
      </w:r>
      <w:r>
        <w:rPr>
          <w:rFonts w:hint="eastAsia"/>
          <w:shd w:val="clear" w:color="auto" w:fill="FFFFFF"/>
        </w:rPr>
        <w:t>”</w:t>
      </w:r>
      <w:r>
        <w:rPr>
          <w:shd w:val="clear" w:color="auto" w:fill="FFFFFF"/>
        </w:rPr>
        <w:t>建设发展格局，有效推动循环产业经济发展，形成了</w:t>
      </w:r>
      <w:r>
        <w:rPr>
          <w:rFonts w:hint="eastAsia"/>
          <w:shd w:val="clear" w:color="auto" w:fill="FFFFFF"/>
        </w:rPr>
        <w:t>“</w:t>
      </w:r>
      <w:r>
        <w:rPr>
          <w:shd w:val="clear" w:color="auto" w:fill="FFFFFF"/>
        </w:rPr>
        <w:t>猪屎养殖蚯蚓、蚯蚓屎制作有机肥、有机肥用来种植农作物</w:t>
      </w:r>
      <w:r>
        <w:rPr>
          <w:rFonts w:hint="eastAsia"/>
          <w:shd w:val="clear" w:color="auto" w:fill="FFFFFF"/>
        </w:rPr>
        <w:t>”</w:t>
      </w:r>
      <w:r>
        <w:rPr>
          <w:shd w:val="clear" w:color="auto" w:fill="FFFFFF"/>
        </w:rPr>
        <w:t>的产业链。</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cs="仿宋_GB2312"/>
          <w:kern w:val="0"/>
          <w:szCs w:val="32"/>
        </w:rPr>
      </w:pPr>
      <w:r>
        <w:rPr>
          <w:rFonts w:hint="eastAsia" w:hAnsi="仿宋" w:cs="仿宋_GB2312"/>
          <w:kern w:val="0"/>
          <w:szCs w:val="32"/>
        </w:rPr>
        <w:t>集浦北黑猪现代生态养殖、富硒猪肉加工销售、循环农业一体的生猪产业示范区。</w:t>
      </w:r>
    </w:p>
    <w:p>
      <w:pPr>
        <w:spacing w:line="240" w:lineRule="auto"/>
        <w:ind w:firstLine="643"/>
        <w:rPr>
          <w:rFonts w:hAnsi="仿宋"/>
          <w:b/>
          <w:bCs/>
        </w:rPr>
      </w:pPr>
      <w:r>
        <w:rPr>
          <w:rFonts w:hint="eastAsia" w:hAnsi="仿宋"/>
          <w:b/>
          <w:bCs/>
        </w:rPr>
        <w:t>（三）发展方向</w:t>
      </w:r>
    </w:p>
    <w:p>
      <w:pPr>
        <w:spacing w:line="240" w:lineRule="auto"/>
        <w:ind w:firstLine="640"/>
        <w:jc w:val="left"/>
        <w:rPr>
          <w:rFonts w:hAnsi="仿宋" w:cs="仿宋_GB2312"/>
          <w:kern w:val="0"/>
          <w:szCs w:val="32"/>
        </w:rPr>
      </w:pPr>
      <w:r>
        <w:rPr>
          <w:rFonts w:hint="eastAsia" w:hAnsi="仿宋" w:cs="仿宋_GB2312"/>
          <w:kern w:val="0"/>
          <w:szCs w:val="32"/>
        </w:rPr>
        <w:t>发展方向是推广应用数字化养殖技术、建立良种繁育基地、现代化种养循环农业示范基地、富硒猪肉加工销售基地，延伸产业链，打造现代高效循环种养农业示范区。</w:t>
      </w:r>
    </w:p>
    <w:p>
      <w:pPr>
        <w:pStyle w:val="5"/>
        <w:spacing w:line="240" w:lineRule="auto"/>
        <w:ind w:firstLine="643"/>
        <w:rPr>
          <w:rFonts w:hAnsi="仿宋"/>
        </w:rPr>
      </w:pPr>
      <w:r>
        <w:rPr>
          <w:rFonts w:hint="eastAsia" w:hAnsi="仿宋"/>
        </w:rPr>
        <w:t>六、浦北县龙门陈皮柑特色农业示范区</w:t>
      </w:r>
    </w:p>
    <w:p>
      <w:pPr>
        <w:spacing w:line="240" w:lineRule="auto"/>
        <w:ind w:firstLine="643"/>
        <w:rPr>
          <w:rFonts w:hAnsi="仿宋"/>
          <w:b/>
          <w:bCs/>
        </w:rPr>
      </w:pPr>
      <w:r>
        <w:rPr>
          <w:rFonts w:hint="eastAsia" w:hAnsi="仿宋"/>
          <w:b/>
          <w:bCs/>
        </w:rPr>
        <w:t>（一）项目概况</w:t>
      </w:r>
    </w:p>
    <w:p>
      <w:pPr>
        <w:spacing w:line="240" w:lineRule="auto"/>
        <w:ind w:firstLine="640"/>
        <w:jc w:val="left"/>
        <w:rPr>
          <w:rFonts w:hAnsi="仿宋"/>
        </w:rPr>
      </w:pPr>
      <w:r>
        <w:rPr>
          <w:rFonts w:hint="eastAsia" w:hAnsi="仿宋" w:cs="仿宋_GB2312"/>
          <w:kern w:val="0"/>
          <w:szCs w:val="32"/>
        </w:rPr>
        <w:t>核心区建设地点在浦北县龙门镇，主导产业是柑橘（陈皮柑、小青柑）；</w:t>
      </w:r>
      <w:r>
        <w:rPr>
          <w:rFonts w:hAnsi="仿宋"/>
        </w:rPr>
        <w:t>龙门镇以</w:t>
      </w:r>
      <w:r>
        <w:rPr>
          <w:rFonts w:hint="eastAsia" w:hAnsi="仿宋"/>
        </w:rPr>
        <w:t>“</w:t>
      </w:r>
      <w:r>
        <w:rPr>
          <w:rFonts w:hAnsi="仿宋"/>
        </w:rPr>
        <w:t>合作社+基地+种植户+市场</w:t>
      </w:r>
      <w:r>
        <w:rPr>
          <w:rFonts w:hint="eastAsia" w:hAnsi="仿宋"/>
        </w:rPr>
        <w:t>”</w:t>
      </w:r>
      <w:r>
        <w:rPr>
          <w:rFonts w:hAnsi="仿宋"/>
        </w:rPr>
        <w:t>的产业发展模式，大力推动柑橘陈皮种植产业的发展。全镇柑橘种植户约1.4万户，种植面积3万亩，规范化柑普茶加工专业合作社26家，带动务工就业人数7000多人，在柑普茶加工企业务工的农户年人均可增加收入约1.5万元。</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rPr>
      </w:pPr>
      <w:r>
        <w:rPr>
          <w:rFonts w:hint="eastAsia" w:hAnsi="仿宋" w:cs="仿宋_GB2312"/>
          <w:kern w:val="0"/>
          <w:szCs w:val="32"/>
        </w:rPr>
        <w:t>集陈皮柑全产业链开发、</w:t>
      </w:r>
      <w:r>
        <w:rPr>
          <w:rFonts w:hint="eastAsia" w:hAnsi="仿宋"/>
        </w:rPr>
        <w:t>高效种植、加工配销、示范推广、科普培训等功能的综合性示范区。</w:t>
      </w:r>
    </w:p>
    <w:p>
      <w:pPr>
        <w:spacing w:line="240" w:lineRule="auto"/>
        <w:ind w:firstLine="643"/>
        <w:rPr>
          <w:rFonts w:hAnsi="仿宋"/>
          <w:b/>
          <w:bCs/>
        </w:rPr>
      </w:pPr>
      <w:r>
        <w:rPr>
          <w:rFonts w:hint="eastAsia" w:hAnsi="仿宋"/>
          <w:b/>
          <w:bCs/>
        </w:rPr>
        <w:t>（三）发展方向</w:t>
      </w:r>
    </w:p>
    <w:p>
      <w:pPr>
        <w:spacing w:line="240" w:lineRule="auto"/>
        <w:ind w:firstLine="640"/>
        <w:rPr>
          <w:rFonts w:hAnsi="仿宋"/>
        </w:rPr>
      </w:pPr>
      <w:r>
        <w:rPr>
          <w:rFonts w:hint="eastAsia" w:hAnsi="仿宋"/>
        </w:rPr>
        <w:t>发展方向是建立陈皮柑标准化种植示范基地、陈皮加工基地、柑普茶加工基地，把浦北县打造成为两广地区陈皮、柑普茶集散地。</w:t>
      </w:r>
    </w:p>
    <w:p>
      <w:pPr>
        <w:pStyle w:val="5"/>
        <w:spacing w:line="240" w:lineRule="auto"/>
        <w:ind w:firstLine="643"/>
        <w:rPr>
          <w:rFonts w:hAnsi="仿宋"/>
        </w:rPr>
      </w:pPr>
      <w:r>
        <w:rPr>
          <w:rFonts w:hint="eastAsia" w:hAnsi="仿宋"/>
        </w:rPr>
        <w:t>七、浦北县越州寿仙湖生态康养农业示范区。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hAnsi="仿宋"/>
        </w:rPr>
      </w:pPr>
      <w:r>
        <w:rPr>
          <w:rFonts w:hint="eastAsia" w:hAnsi="仿宋"/>
        </w:rPr>
        <w:t>核心区建设地点在浦北县龙门镇，</w:t>
      </w:r>
      <w:r>
        <w:rPr>
          <w:rFonts w:hAnsi="仿宋"/>
        </w:rPr>
        <w:t>越州寿仙湖注重生态环境保护，大力发展现代生态农业。湖区绿树成荫，栽种有各种名贵果树，澳洲坚果、嘉宝果、东魁杨梅、释迦果、荔枝、桃花等。寿仙湖里，有纯天然，无污染的野生鱼、黄蜂鱼、塘角鱼、大头鱼等各种鱼类</w:t>
      </w:r>
      <w:r>
        <w:rPr>
          <w:rFonts w:hint="eastAsia" w:hAnsi="仿宋"/>
        </w:rPr>
        <w:t>。</w:t>
      </w:r>
      <w:r>
        <w:rPr>
          <w:rFonts w:hAnsi="仿宋" w:cs="Arial"/>
          <w:shd w:val="clear" w:color="auto" w:fill="FFFFFF"/>
        </w:rPr>
        <w:t>原始生态林区</w:t>
      </w:r>
      <w:r>
        <w:rPr>
          <w:rFonts w:hint="eastAsia" w:hAnsi="仿宋" w:cs="Arial"/>
          <w:shd w:val="clear" w:color="auto" w:fill="FFFFFF"/>
        </w:rPr>
        <w:t>，100</w:t>
      </w:r>
      <w:r>
        <w:rPr>
          <w:rFonts w:hAnsi="仿宋" w:cs="Arial"/>
          <w:shd w:val="clear" w:color="auto" w:fill="FFFFFF"/>
        </w:rPr>
        <w:t>年以上的古树成群，负氧离子含量极高，是寿仙湖的天然氧吧</w:t>
      </w:r>
      <w:r>
        <w:rPr>
          <w:rFonts w:hint="eastAsia" w:hAnsi="仿宋" w:cs="Arial"/>
          <w:shd w:val="clear" w:color="auto" w:fill="FFFFFF"/>
        </w:rPr>
        <w:t>。</w:t>
      </w:r>
      <w:r>
        <w:rPr>
          <w:rFonts w:hAnsi="仿宋" w:cs="Arial"/>
          <w:shd w:val="clear" w:color="auto" w:fill="FFFFFF"/>
        </w:rPr>
        <w:t>林区森林木屋依山而建，在林间休憩，与大自然亲密接触</w:t>
      </w:r>
      <w:r>
        <w:rPr>
          <w:rFonts w:hint="eastAsia" w:hAnsi="仿宋" w:cs="Arial"/>
          <w:shd w:val="clear" w:color="auto" w:fill="FFFFFF"/>
        </w:rPr>
        <w:t>，</w:t>
      </w:r>
      <w:r>
        <w:rPr>
          <w:rFonts w:hAnsi="仿宋" w:cs="Arial"/>
          <w:shd w:val="clear" w:color="auto" w:fill="FFFFFF"/>
        </w:rPr>
        <w:t>吸最纯净的空气，益寿延年。</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cs="仿宋_GB2312"/>
          <w:kern w:val="0"/>
          <w:szCs w:val="32"/>
        </w:rPr>
      </w:pPr>
      <w:r>
        <w:rPr>
          <w:rFonts w:hint="eastAsia" w:hAnsi="仿宋" w:cs="仿宋_GB2312"/>
          <w:kern w:val="0"/>
          <w:szCs w:val="32"/>
        </w:rPr>
        <w:t>新品种示范推广、富硒农业体验、农旅融合。</w:t>
      </w:r>
    </w:p>
    <w:p>
      <w:pPr>
        <w:spacing w:line="240" w:lineRule="auto"/>
        <w:ind w:firstLine="643"/>
        <w:rPr>
          <w:rFonts w:hAnsi="仿宋"/>
          <w:b/>
          <w:bCs/>
        </w:rPr>
      </w:pPr>
      <w:r>
        <w:rPr>
          <w:rFonts w:hint="eastAsia" w:hAnsi="仿宋"/>
          <w:b/>
          <w:bCs/>
        </w:rPr>
        <w:t>（三）发展方向</w:t>
      </w:r>
    </w:p>
    <w:p>
      <w:pPr>
        <w:spacing w:line="240" w:lineRule="auto"/>
        <w:ind w:firstLine="640"/>
        <w:jc w:val="left"/>
        <w:rPr>
          <w:rFonts w:hAnsi="仿宋" w:cs="仿宋_GB2312"/>
          <w:kern w:val="0"/>
          <w:szCs w:val="32"/>
        </w:rPr>
      </w:pPr>
      <w:r>
        <w:rPr>
          <w:rFonts w:hint="eastAsia" w:hAnsi="仿宋" w:cs="仿宋_GB2312"/>
          <w:kern w:val="0"/>
          <w:szCs w:val="32"/>
        </w:rPr>
        <w:t>通过完善提升越州寿仙湖旅游配套设施，建设集休闲观光、旅游住宿、新品种推广、科普研学、亲子教育、文化体验于一体的现代化休闲农业示范区。</w:t>
      </w:r>
    </w:p>
    <w:p>
      <w:pPr>
        <w:pStyle w:val="5"/>
        <w:spacing w:line="240" w:lineRule="auto"/>
        <w:ind w:firstLine="643"/>
        <w:rPr>
          <w:rFonts w:hAnsi="仿宋"/>
        </w:rPr>
      </w:pPr>
      <w:r>
        <w:rPr>
          <w:rFonts w:hint="eastAsia" w:hAnsi="仿宋"/>
        </w:rPr>
        <w:t>八、钦南区那雾山森林生态文化旅游示范区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hAnsi="仿宋"/>
        </w:rPr>
      </w:pPr>
      <w:r>
        <w:rPr>
          <w:rFonts w:hint="eastAsia" w:hAnsi="仿宋"/>
        </w:rPr>
        <w:t>钦南区那雾山森林生态文化旅游示范区位于</w:t>
      </w:r>
      <w:r>
        <w:rPr>
          <w:rFonts w:hAnsi="仿宋"/>
        </w:rPr>
        <w:t>那丽镇内，距那丽镇中心约3公里，距离钦州城区36公里</w:t>
      </w:r>
      <w:r>
        <w:rPr>
          <w:rFonts w:hint="eastAsia" w:hAnsi="仿宋"/>
        </w:rPr>
        <w:t>。示范区</w:t>
      </w:r>
      <w:r>
        <w:rPr>
          <w:rFonts w:hAnsi="仿宋"/>
        </w:rPr>
        <w:t>经营有杨梅种植园、竹林（可食用笋）、知青茶园、三华李种植园等产业，经济作物产量高</w:t>
      </w:r>
      <w:r>
        <w:rPr>
          <w:rFonts w:hint="eastAsia" w:hAnsi="仿宋"/>
        </w:rPr>
        <w:t>；</w:t>
      </w:r>
      <w:r>
        <w:rPr>
          <w:rFonts w:hAnsi="仿宋"/>
        </w:rPr>
        <w:t>通过</w:t>
      </w:r>
      <w:r>
        <w:rPr>
          <w:rFonts w:hint="eastAsia" w:hAnsi="仿宋"/>
        </w:rPr>
        <w:t>“</w:t>
      </w:r>
      <w:r>
        <w:rPr>
          <w:rFonts w:hAnsi="仿宋"/>
        </w:rPr>
        <w:t>生态农业观光+旅游服务+新农村</w:t>
      </w:r>
      <w:r>
        <w:rPr>
          <w:rFonts w:hint="eastAsia" w:hAnsi="仿宋"/>
        </w:rPr>
        <w:t>”</w:t>
      </w:r>
      <w:r>
        <w:rPr>
          <w:rFonts w:hAnsi="仿宋"/>
        </w:rPr>
        <w:t>的形式，租赁田地、林地，引导村民有目的种植、养殖开发旅游产品，充分发挥产业的辐射带动作用，带动了周边地区经济的发展</w:t>
      </w:r>
      <w:r>
        <w:rPr>
          <w:rFonts w:hint="eastAsia" w:hAnsi="仿宋"/>
        </w:rPr>
        <w:t>。</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rPr>
      </w:pPr>
      <w:r>
        <w:rPr>
          <w:rFonts w:hint="eastAsia" w:hAnsi="仿宋"/>
        </w:rPr>
        <w:t>生态文化教育、现代林业推广、</w:t>
      </w:r>
      <w:r>
        <w:rPr>
          <w:rFonts w:hAnsi="仿宋"/>
        </w:rPr>
        <w:t>森林生态体验、度假田园养生</w:t>
      </w:r>
      <w:r>
        <w:rPr>
          <w:rFonts w:hint="eastAsia" w:hAnsi="仿宋"/>
        </w:rPr>
        <w:t>等功能定位</w:t>
      </w:r>
      <w:r>
        <w:rPr>
          <w:rFonts w:hAnsi="仿宋"/>
        </w:rPr>
        <w:t>。</w:t>
      </w:r>
    </w:p>
    <w:p>
      <w:pPr>
        <w:spacing w:line="240" w:lineRule="auto"/>
        <w:ind w:firstLine="643"/>
        <w:rPr>
          <w:rFonts w:hAnsi="仿宋"/>
          <w:b/>
          <w:bCs/>
        </w:rPr>
      </w:pPr>
      <w:r>
        <w:rPr>
          <w:rFonts w:hint="eastAsia" w:hAnsi="仿宋"/>
          <w:b/>
          <w:bCs/>
        </w:rPr>
        <w:t>（三）发展方向</w:t>
      </w:r>
    </w:p>
    <w:p>
      <w:pPr>
        <w:spacing w:line="240" w:lineRule="auto"/>
        <w:ind w:firstLine="643"/>
        <w:rPr>
          <w:rFonts w:hAnsi="仿宋"/>
        </w:rPr>
      </w:pPr>
      <w:r>
        <w:rPr>
          <w:rFonts w:hint="eastAsia" w:hAnsi="仿宋"/>
          <w:b/>
          <w:bCs/>
        </w:rPr>
        <w:t>一是</w:t>
      </w:r>
      <w:r>
        <w:rPr>
          <w:rFonts w:hint="eastAsia" w:hAnsi="仿宋"/>
        </w:rPr>
        <w:t>争取创建成为四星级示范区。</w:t>
      </w:r>
      <w:r>
        <w:rPr>
          <w:rFonts w:hint="eastAsia" w:hAnsi="仿宋"/>
          <w:b/>
          <w:bCs/>
        </w:rPr>
        <w:t>二是</w:t>
      </w:r>
      <w:r>
        <w:rPr>
          <w:rFonts w:hAnsi="仿宋"/>
        </w:rPr>
        <w:t>围绕示范区林业特点、地域特点和资源特点，形成以森林生态文化旅游为品牌，围绕森林生态文化旅游产业要素和相关产业的横向融合，创新</w:t>
      </w:r>
      <w:r>
        <w:rPr>
          <w:rFonts w:hint="eastAsia" w:hAnsi="仿宋"/>
        </w:rPr>
        <w:t>“</w:t>
      </w:r>
      <w:r>
        <w:rPr>
          <w:rFonts w:hAnsi="仿宋"/>
        </w:rPr>
        <w:t>森林联合旅游保育、生态围绕旅游提升、文化联姻森林做大、乡村结合生态做靓、信息改变旅游方式、商贸融合产品延伸</w:t>
      </w:r>
      <w:r>
        <w:rPr>
          <w:rFonts w:hint="eastAsia" w:hAnsi="仿宋"/>
        </w:rPr>
        <w:t>”</w:t>
      </w:r>
      <w:r>
        <w:rPr>
          <w:rFonts w:hAnsi="仿宋"/>
        </w:rPr>
        <w:t>的产业融合模式</w:t>
      </w:r>
      <w:r>
        <w:rPr>
          <w:rFonts w:hint="eastAsia" w:hAnsi="仿宋"/>
        </w:rPr>
        <w:t>。</w:t>
      </w:r>
    </w:p>
    <w:p>
      <w:pPr>
        <w:spacing w:line="240" w:lineRule="auto"/>
        <w:ind w:firstLine="640"/>
        <w:rPr>
          <w:rFonts w:hAnsi="仿宋"/>
        </w:rPr>
      </w:pPr>
      <w:r>
        <w:rPr>
          <w:rFonts w:hint="eastAsia" w:hAnsi="仿宋"/>
        </w:rPr>
        <w:t>建设内容：</w:t>
      </w:r>
      <w:r>
        <w:rPr>
          <w:rFonts w:hAnsi="仿宋"/>
        </w:rPr>
        <w:t>那雾鹊桥</w:t>
      </w:r>
      <w:r>
        <w:rPr>
          <w:rFonts w:hint="eastAsia" w:hAnsi="仿宋"/>
        </w:rPr>
        <w:t>、</w:t>
      </w:r>
      <w:r>
        <w:rPr>
          <w:rFonts w:hAnsi="仿宋"/>
        </w:rPr>
        <w:t>那雾天池</w:t>
      </w:r>
      <w:r>
        <w:rPr>
          <w:rFonts w:hint="eastAsia" w:hAnsi="仿宋"/>
        </w:rPr>
        <w:t>、</w:t>
      </w:r>
      <w:r>
        <w:rPr>
          <w:rFonts w:hAnsi="仿宋"/>
        </w:rPr>
        <w:t>水上乐园</w:t>
      </w:r>
      <w:r>
        <w:rPr>
          <w:rFonts w:hint="eastAsia" w:hAnsi="仿宋"/>
        </w:rPr>
        <w:t>、</w:t>
      </w:r>
      <w:r>
        <w:rPr>
          <w:rFonts w:hAnsi="仿宋"/>
        </w:rPr>
        <w:t>雾山居</w:t>
      </w:r>
      <w:r>
        <w:rPr>
          <w:rFonts w:hint="eastAsia" w:hAnsi="仿宋"/>
        </w:rPr>
        <w:t>、</w:t>
      </w:r>
      <w:r>
        <w:rPr>
          <w:rFonts w:hAnsi="仿宋"/>
        </w:rPr>
        <w:t>森林呼吸养吧</w:t>
      </w:r>
      <w:r>
        <w:rPr>
          <w:rFonts w:hint="eastAsia" w:hAnsi="仿宋"/>
        </w:rPr>
        <w:t>、</w:t>
      </w:r>
      <w:r>
        <w:rPr>
          <w:rFonts w:hAnsi="仿宋"/>
        </w:rPr>
        <w:t>森林露营基地</w:t>
      </w:r>
      <w:r>
        <w:rPr>
          <w:rFonts w:hint="eastAsia" w:hAnsi="仿宋"/>
        </w:rPr>
        <w:t>等项目。</w:t>
      </w:r>
    </w:p>
    <w:p>
      <w:pPr>
        <w:pStyle w:val="5"/>
        <w:spacing w:line="240" w:lineRule="auto"/>
        <w:ind w:firstLine="643"/>
        <w:rPr>
          <w:rFonts w:hAnsi="仿宋"/>
        </w:rPr>
      </w:pPr>
      <w:r>
        <w:rPr>
          <w:rFonts w:hint="eastAsia" w:hAnsi="仿宋"/>
        </w:rPr>
        <w:t>九、钦北区金陵生猪产业示范区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hAnsi="仿宋"/>
        </w:rPr>
      </w:pPr>
      <w:r>
        <w:rPr>
          <w:rFonts w:hint="eastAsia" w:hAnsi="仿宋"/>
        </w:rPr>
        <w:t>示范区位于我区青塘镇榃甫村，规划（核心区）示范区项目建设用地</w:t>
      </w:r>
      <w:r>
        <w:rPr>
          <w:rFonts w:hAnsi="仿宋"/>
        </w:rPr>
        <w:t>426</w:t>
      </w:r>
      <w:r>
        <w:rPr>
          <w:rFonts w:hint="eastAsia" w:hAnsi="仿宋"/>
        </w:rPr>
        <w:t>亩。目标用三年时间，把园区建设成为优质健康肉猪规模化、标准化养殖生产示范基地，生猪活体储备基地，绿色畜禽产品生产基地。示范区存栏生产母猪8212头，年可向社会提供优质仔猪16万头以上。创建以绿色、有机肉食品为核心的知名农牧品牌。辐射带动全区养殖业的规模化、标准化和产业化，大幅增加养殖户的收入，带动贫困户脱贫致富。</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rPr>
      </w:pPr>
      <w:r>
        <w:rPr>
          <w:rFonts w:hint="eastAsia" w:hAnsi="仿宋"/>
        </w:rPr>
        <w:t>养殖示范、种猪肉猪养殖、循环农业的生猪产业示范区</w:t>
      </w:r>
    </w:p>
    <w:p>
      <w:pPr>
        <w:spacing w:line="240" w:lineRule="auto"/>
        <w:ind w:firstLine="643"/>
        <w:rPr>
          <w:rFonts w:hAnsi="仿宋"/>
          <w:b/>
          <w:bCs/>
        </w:rPr>
      </w:pPr>
      <w:r>
        <w:rPr>
          <w:rFonts w:hint="eastAsia" w:hAnsi="仿宋"/>
          <w:b/>
          <w:bCs/>
        </w:rPr>
        <w:t>（三）发展方向</w:t>
      </w:r>
    </w:p>
    <w:p>
      <w:pPr>
        <w:spacing w:line="240" w:lineRule="auto"/>
        <w:ind w:firstLine="643"/>
        <w:rPr>
          <w:rFonts w:hAnsi="仿宋"/>
          <w:szCs w:val="32"/>
          <w:shd w:val="clear" w:color="auto" w:fill="FFFFFF"/>
        </w:rPr>
      </w:pPr>
      <w:r>
        <w:rPr>
          <w:rFonts w:hint="eastAsia" w:hAnsi="仿宋"/>
          <w:b/>
          <w:bCs/>
          <w:szCs w:val="32"/>
          <w:shd w:val="clear" w:color="auto" w:fill="FFFFFF"/>
        </w:rPr>
        <w:t>一是</w:t>
      </w:r>
      <w:r>
        <w:rPr>
          <w:rFonts w:hint="eastAsia" w:hAnsi="仿宋"/>
          <w:szCs w:val="32"/>
          <w:shd w:val="clear" w:color="auto" w:fill="FFFFFF"/>
        </w:rPr>
        <w:t>争取创建成为四星级示范区。</w:t>
      </w:r>
      <w:r>
        <w:rPr>
          <w:rFonts w:hint="eastAsia" w:hAnsi="仿宋"/>
          <w:b/>
          <w:bCs/>
          <w:szCs w:val="32"/>
          <w:shd w:val="clear" w:color="auto" w:fill="FFFFFF"/>
        </w:rPr>
        <w:t>二是</w:t>
      </w:r>
      <w:r>
        <w:rPr>
          <w:rFonts w:hint="eastAsia" w:hAnsi="仿宋"/>
          <w:szCs w:val="32"/>
          <w:shd w:val="clear" w:color="auto" w:fill="FFFFFF"/>
        </w:rPr>
        <w:t>计划用三年时间，把园区建设成为优质健康肉猪规模化、标准化养殖生产示范基地，生猪活体储备基地，绿色畜禽产品生产基地。</w:t>
      </w:r>
      <w:r>
        <w:rPr>
          <w:rFonts w:hint="eastAsia" w:hAnsi="仿宋"/>
          <w:b/>
          <w:bCs/>
          <w:szCs w:val="32"/>
          <w:shd w:val="clear" w:color="auto" w:fill="FFFFFF"/>
        </w:rPr>
        <w:t>三是</w:t>
      </w:r>
      <w:r>
        <w:rPr>
          <w:rFonts w:hint="eastAsia" w:hAnsi="仿宋"/>
          <w:szCs w:val="32"/>
          <w:shd w:val="clear" w:color="auto" w:fill="FFFFFF"/>
        </w:rPr>
        <w:t xml:space="preserve">加强防疫推广体系建设，减少疫情对养猪行业冲击带来的影响，建立配套完善的畜禽良种繁育体系，培育、推广、利用畜禽优良品种，提高良种化程度，促进畜牧业向高产、优质、高效转变及持续稳定发展，提高畜禽生产性能及综合经济效益，增强畜牧产品市场竞争力。    </w:t>
      </w:r>
    </w:p>
    <w:p>
      <w:pPr>
        <w:spacing w:line="240" w:lineRule="auto"/>
        <w:ind w:firstLine="640"/>
        <w:rPr>
          <w:rFonts w:hAnsi="仿宋" w:cs="宋体"/>
          <w:kern w:val="0"/>
          <w:szCs w:val="21"/>
        </w:rPr>
      </w:pPr>
      <w:r>
        <w:rPr>
          <w:rFonts w:hint="eastAsia" w:hAnsi="仿宋"/>
        </w:rPr>
        <w:t>建设内容：</w:t>
      </w:r>
      <w:r>
        <w:rPr>
          <w:rFonts w:hint="eastAsia" w:hAnsi="仿宋" w:cs="宋体"/>
          <w:kern w:val="0"/>
          <w:szCs w:val="21"/>
        </w:rPr>
        <w:t>推进建设成为优质健康肉猪规模化、标准化养殖生产示范基地，生猪活体储备基地，绿色畜禽产品生产基地。创建以绿色、有机肉食品为核心的知名农牧品牌。</w:t>
      </w:r>
    </w:p>
    <w:p>
      <w:pPr>
        <w:pStyle w:val="5"/>
        <w:spacing w:line="240" w:lineRule="auto"/>
        <w:ind w:firstLine="643"/>
        <w:rPr>
          <w:rFonts w:hAnsi="仿宋"/>
        </w:rPr>
      </w:pPr>
      <w:r>
        <w:rPr>
          <w:rFonts w:hint="eastAsia" w:hAnsi="仿宋"/>
        </w:rPr>
        <w:t>十、钦北区天鹅湖休闲农业示范区</w:t>
      </w:r>
    </w:p>
    <w:p>
      <w:pPr>
        <w:spacing w:line="240" w:lineRule="auto"/>
        <w:ind w:firstLine="643"/>
        <w:rPr>
          <w:rFonts w:hAnsi="仿宋"/>
          <w:b/>
          <w:bCs/>
          <w:sz w:val="24"/>
        </w:rPr>
      </w:pPr>
      <w:r>
        <w:rPr>
          <w:rFonts w:hint="eastAsia" w:hAnsi="仿宋"/>
          <w:b/>
          <w:bCs/>
        </w:rPr>
        <w:t>（一）项目概况</w:t>
      </w:r>
    </w:p>
    <w:p>
      <w:pPr>
        <w:spacing w:line="240" w:lineRule="auto"/>
        <w:ind w:firstLine="640"/>
        <w:rPr>
          <w:rFonts w:hAnsi="仿宋"/>
        </w:rPr>
      </w:pPr>
      <w:r>
        <w:rPr>
          <w:rFonts w:hint="eastAsia" w:hAnsi="仿宋"/>
        </w:rPr>
        <w:t>钦北区平吉镇天鹅湖休闲农业示范园位于平吉镇八仙村，有550多亩水果种植，现水产养殖200亩，林木种植250亩。是一个集种植、养殖、销售、观光休闲旅游于一体的现代特色休闲农业类示范园。</w:t>
      </w:r>
    </w:p>
    <w:p>
      <w:pPr>
        <w:spacing w:line="240" w:lineRule="auto"/>
        <w:ind w:firstLine="643"/>
        <w:rPr>
          <w:rFonts w:hAnsi="仿宋"/>
          <w:b/>
          <w:bCs/>
        </w:rPr>
      </w:pPr>
      <w:r>
        <w:rPr>
          <w:rFonts w:hint="eastAsia" w:hAnsi="仿宋"/>
          <w:b/>
          <w:bCs/>
        </w:rPr>
        <w:t>（二）功能定位</w:t>
      </w:r>
    </w:p>
    <w:p>
      <w:pPr>
        <w:spacing w:line="240" w:lineRule="auto"/>
        <w:ind w:firstLine="640"/>
        <w:rPr>
          <w:rFonts w:hAnsi="仿宋"/>
          <w:sz w:val="24"/>
        </w:rPr>
      </w:pPr>
      <w:r>
        <w:rPr>
          <w:rFonts w:hint="eastAsia" w:hAnsi="仿宋"/>
        </w:rPr>
        <w:t>乡村旅游、休闲体验等功能的特色农业示范区。</w:t>
      </w:r>
    </w:p>
    <w:p>
      <w:pPr>
        <w:spacing w:line="240" w:lineRule="auto"/>
        <w:ind w:firstLine="643"/>
        <w:rPr>
          <w:rFonts w:hAnsi="仿宋"/>
          <w:b/>
          <w:bCs/>
        </w:rPr>
      </w:pPr>
      <w:r>
        <w:rPr>
          <w:rFonts w:hint="eastAsia" w:hAnsi="仿宋"/>
          <w:b/>
          <w:bCs/>
        </w:rPr>
        <w:t>（三）发展方向</w:t>
      </w:r>
    </w:p>
    <w:p>
      <w:pPr>
        <w:spacing w:line="240" w:lineRule="auto"/>
        <w:ind w:firstLine="643"/>
        <w:rPr>
          <w:rFonts w:hAnsi="仿宋"/>
        </w:rPr>
      </w:pPr>
      <w:r>
        <w:rPr>
          <w:rFonts w:hint="eastAsia" w:hAnsi="仿宋"/>
          <w:b/>
          <w:bCs/>
        </w:rPr>
        <w:t>一是</w:t>
      </w:r>
      <w:r>
        <w:rPr>
          <w:rFonts w:hint="eastAsia" w:hAnsi="仿宋"/>
        </w:rPr>
        <w:t>争取创建成为四星级示范区。</w:t>
      </w:r>
      <w:r>
        <w:rPr>
          <w:rFonts w:hint="eastAsia" w:hAnsi="仿宋"/>
          <w:b/>
          <w:bCs/>
        </w:rPr>
        <w:t>二是</w:t>
      </w:r>
      <w:r>
        <w:rPr>
          <w:rFonts w:hint="eastAsia" w:hAnsi="仿宋"/>
        </w:rPr>
        <w:t xml:space="preserve">持续推进标准化种植，加强农产品产后初加工水平，提升农产品仓储流通能力，完善提升示范区配套功能设施建设，打造成为集休闲观光、旅游住宿、科普研学、亲子教育、文化体验于一体的现代特色休闲农业示范区。 </w:t>
      </w:r>
    </w:p>
    <w:p>
      <w:pPr>
        <w:spacing w:line="240" w:lineRule="auto"/>
        <w:ind w:firstLine="640"/>
        <w:rPr>
          <w:rFonts w:hAnsi="仿宋"/>
        </w:rPr>
      </w:pPr>
      <w:r>
        <w:rPr>
          <w:rFonts w:hint="eastAsia" w:hAnsi="仿宋"/>
        </w:rPr>
        <w:t>建设内容：建设现代</w:t>
      </w:r>
      <w:r>
        <w:rPr>
          <w:rFonts w:hint="eastAsia" w:hAnsi="仿宋"/>
          <w:bCs/>
        </w:rPr>
        <w:t>特色休闲农业示范区</w:t>
      </w:r>
      <w:r>
        <w:rPr>
          <w:rFonts w:hint="eastAsia" w:hAnsi="仿宋"/>
        </w:rPr>
        <w:t>1500亩;建设游客接待设施等。</w:t>
      </w:r>
    </w:p>
    <w:p>
      <w:pPr>
        <w:spacing w:line="240" w:lineRule="auto"/>
        <w:ind w:firstLine="640"/>
      </w:pPr>
    </w:p>
    <w:p>
      <w:pPr>
        <w:widowControl/>
        <w:spacing w:line="240" w:lineRule="auto"/>
        <w:ind w:firstLine="0" w:firstLineChars="0"/>
        <w:jc w:val="left"/>
        <w:sectPr>
          <w:footerReference r:id="rId11" w:type="default"/>
          <w:footerReference r:id="rId12" w:type="even"/>
          <w:pgSz w:w="11906" w:h="16838"/>
          <w:pgMar w:top="1701" w:right="1418" w:bottom="1418" w:left="1474" w:header="851" w:footer="992" w:gutter="0"/>
          <w:pgNumType w:fmt="numberInDash"/>
          <w:cols w:space="0" w:num="1"/>
          <w:docGrid w:type="lines" w:linePitch="584" w:charSpace="-849"/>
        </w:sectPr>
      </w:pPr>
    </w:p>
    <w:p>
      <w:pPr>
        <w:pStyle w:val="3"/>
      </w:pPr>
      <w:bookmarkStart w:id="28" w:name="_Toc119667503"/>
      <w:r>
        <w:rPr>
          <w:rFonts w:hint="eastAsia"/>
        </w:rPr>
        <w:t>第七章 评估认定</w:t>
      </w:r>
      <w:bookmarkEnd w:id="28"/>
    </w:p>
    <w:p>
      <w:pPr>
        <w:ind w:firstLine="640"/>
      </w:pPr>
    </w:p>
    <w:p>
      <w:pPr>
        <w:pStyle w:val="4"/>
        <w:spacing w:after="292" w:afterLines="50" w:line="240" w:lineRule="auto"/>
        <w:rPr>
          <w:rFonts w:ascii="仿宋" w:hAnsi="仿宋" w:eastAsia="仿宋"/>
        </w:rPr>
      </w:pPr>
      <w:bookmarkStart w:id="29" w:name="_Toc119667504"/>
      <w:r>
        <w:rPr>
          <w:rFonts w:hint="eastAsia" w:ascii="仿宋" w:hAnsi="仿宋" w:eastAsia="仿宋"/>
        </w:rPr>
        <w:t>第一节 示范区管理机制</w:t>
      </w:r>
      <w:bookmarkEnd w:id="29"/>
    </w:p>
    <w:p>
      <w:pPr>
        <w:spacing w:line="240" w:lineRule="auto"/>
        <w:ind w:firstLine="640"/>
        <w:rPr>
          <w:rFonts w:hAnsi="仿宋"/>
        </w:rPr>
      </w:pPr>
      <w:r>
        <w:rPr>
          <w:rFonts w:hint="eastAsia" w:hAnsi="仿宋"/>
        </w:rPr>
        <w:t>钦州市示范区实行“分级负责、动态考核、分级管理、能进能退”的考核管理机制。在具备创建条件的基础上，通过深入创建达到认定标准，再申报认定，授予相应称号，同时纳入常态化监督与管理。</w:t>
      </w:r>
    </w:p>
    <w:p>
      <w:pPr>
        <w:pStyle w:val="5"/>
        <w:spacing w:line="240" w:lineRule="auto"/>
        <w:ind w:firstLine="643"/>
        <w:rPr>
          <w:rFonts w:hAnsi="仿宋"/>
          <w:b w:val="0"/>
        </w:rPr>
      </w:pPr>
      <w:r>
        <w:rPr>
          <w:rFonts w:hint="eastAsia" w:hAnsi="仿宋"/>
        </w:rPr>
        <w:t>一、分级验收机制</w:t>
      </w:r>
    </w:p>
    <w:p>
      <w:pPr>
        <w:spacing w:line="240" w:lineRule="auto"/>
        <w:ind w:firstLine="640"/>
        <w:rPr>
          <w:rFonts w:hAnsi="仿宋"/>
        </w:rPr>
      </w:pPr>
      <w:r>
        <w:rPr>
          <w:rFonts w:hint="eastAsia" w:hAnsi="仿宋"/>
        </w:rPr>
        <w:t>广西现代特色农业示范区由自治区根据相关文件要求组织开展验收认定工作。对于自治区级示范区的验收认定由自治区负责，钦州市负责对县级现代特色农业示范区的验收认定，各县（区）负责对乡级现代特色农业示范园和村级现代特色农业示范点的验收认定，验收认定和奖补办法由钦州市、各县（区）根据自身实际自行制定。</w:t>
      </w:r>
    </w:p>
    <w:p>
      <w:pPr>
        <w:pStyle w:val="5"/>
        <w:spacing w:line="240" w:lineRule="auto"/>
        <w:ind w:firstLine="643"/>
        <w:rPr>
          <w:rFonts w:hAnsi="仿宋"/>
          <w:b w:val="0"/>
        </w:rPr>
      </w:pPr>
      <w:r>
        <w:rPr>
          <w:rFonts w:hint="eastAsia" w:hAnsi="仿宋"/>
        </w:rPr>
        <w:t>二、创新监测与评价机制</w:t>
      </w:r>
    </w:p>
    <w:p>
      <w:pPr>
        <w:spacing w:line="240" w:lineRule="auto"/>
        <w:ind w:firstLine="643"/>
        <w:rPr>
          <w:rFonts w:hAnsi="仿宋"/>
        </w:rPr>
      </w:pPr>
      <w:r>
        <w:rPr>
          <w:rFonts w:hint="eastAsia" w:hAnsi="仿宋"/>
          <w:b/>
        </w:rPr>
        <w:t>（一）采用动态的监测机制。</w:t>
      </w:r>
      <w:r>
        <w:rPr>
          <w:rFonts w:hint="eastAsia" w:hAnsi="仿宋"/>
        </w:rPr>
        <w:t>钦州市每年对到期的广西现代特色农业示范区依据《广西自治区级现代特色农业示范区建设标准》开展初审，配合自治区完成监测。钦州市负责对县级现代特色农业示范区开展监测，对自评打分达到四星级以上（含四星级）标准的县级现代特色农业示范区，让其申报自治区级示范区。各县（区）负责对乡级现代特色农业示范园和村级现代特色农业示范点开展监测，对达到建设标准的现代特色农业示范园（点），直接认定为现代特色农业示范园（点）。对达不到有关标准的，取消“现代特色农业示范区（园、点）”称号。</w:t>
      </w:r>
    </w:p>
    <w:p>
      <w:pPr>
        <w:spacing w:line="240" w:lineRule="auto"/>
        <w:ind w:firstLine="643"/>
        <w:rPr>
          <w:rFonts w:hAnsi="仿宋"/>
        </w:rPr>
      </w:pPr>
      <w:r>
        <w:rPr>
          <w:rFonts w:hint="eastAsia" w:hAnsi="仿宋"/>
          <w:b/>
        </w:rPr>
        <w:t>（二）创新评价机制。</w:t>
      </w:r>
      <w:r>
        <w:rPr>
          <w:rFonts w:hint="eastAsia" w:hAnsi="仿宋"/>
        </w:rPr>
        <w:t>除现场验收和会议评审外，邀请党代表、人大代表、政协委员和专家等，对现代特色农业示范区的农业生产、污染防治、生态评估、产品销售、带农增收等方面进行监测，确保现代特色农业示范区监测体系的系统、全面。</w:t>
      </w:r>
    </w:p>
    <w:p>
      <w:pPr>
        <w:pStyle w:val="4"/>
        <w:spacing w:before="292" w:beforeLines="50" w:after="292" w:afterLines="50" w:line="240" w:lineRule="auto"/>
        <w:rPr>
          <w:rFonts w:ascii="仿宋" w:hAnsi="仿宋" w:eastAsia="仿宋"/>
        </w:rPr>
      </w:pPr>
      <w:bookmarkStart w:id="30" w:name="_Toc119667505"/>
      <w:r>
        <w:rPr>
          <w:rFonts w:hint="eastAsia" w:ascii="仿宋" w:hAnsi="仿宋" w:eastAsia="仿宋"/>
        </w:rPr>
        <w:t>第二节 示范区申报与认定</w:t>
      </w:r>
      <w:bookmarkEnd w:id="30"/>
    </w:p>
    <w:p>
      <w:pPr>
        <w:spacing w:line="240" w:lineRule="auto"/>
        <w:ind w:firstLine="640"/>
        <w:rPr>
          <w:rFonts w:hAnsi="仿宋"/>
        </w:rPr>
      </w:pPr>
      <w:r>
        <w:rPr>
          <w:rFonts w:hint="eastAsia" w:hAnsi="仿宋"/>
        </w:rPr>
        <w:t>现代特色农业示范区按照先创建、后认定的程序，突出“特色”和“现代化”，依据《广西自治区级现代特色农业示范区建设标准》，在具备创建条件的基础上，通过建设达到认定标准，授予相应称号，同时纳入常态化监测和管理。认定程序、手续和标准（条件）必须严格按自治区要求确定，不得另行制订新标准和新的程序。</w:t>
      </w:r>
    </w:p>
    <w:p>
      <w:pPr>
        <w:pStyle w:val="5"/>
        <w:spacing w:line="240" w:lineRule="auto"/>
        <w:ind w:firstLine="643"/>
        <w:rPr>
          <w:rFonts w:hAnsi="仿宋"/>
          <w:b w:val="0"/>
        </w:rPr>
      </w:pPr>
      <w:r>
        <w:rPr>
          <w:rFonts w:hint="eastAsia" w:hAnsi="仿宋"/>
        </w:rPr>
        <w:t>一、现代特色农业示范区创建条件</w:t>
      </w:r>
    </w:p>
    <w:p>
      <w:pPr>
        <w:spacing w:line="240" w:lineRule="auto"/>
        <w:ind w:firstLine="640"/>
        <w:rPr>
          <w:rFonts w:hAnsi="仿宋"/>
        </w:rPr>
      </w:pPr>
      <w:r>
        <w:rPr>
          <w:rFonts w:hint="eastAsia" w:hAnsi="仿宋"/>
        </w:rPr>
        <w:t>现代特色农业示范区创建应具备以下基本条件：符合自治区现代特色农业示范区创建明确的建设标准，具有独特的资源禀赋，品种特色鲜明、品种优良，基础设施建设完善，生产技术先进，建立质量安全保障体系，有新型经营主体，生产组织化、标准化程度高，产业链条相对完整，加工、流通环节基本齐备，技术支撑有力，品种和关键技术研发有持续投入，与相关高校及科研院所建立合作机制，促进园区内农民增收，采用绿色生态的特色农业生产方式，农业废弃物资源利用率较高。</w:t>
      </w:r>
    </w:p>
    <w:p>
      <w:pPr>
        <w:pStyle w:val="5"/>
        <w:spacing w:line="240" w:lineRule="auto"/>
        <w:ind w:firstLine="643"/>
        <w:rPr>
          <w:rFonts w:hAnsi="仿宋"/>
          <w:b w:val="0"/>
        </w:rPr>
      </w:pPr>
      <w:r>
        <w:rPr>
          <w:rFonts w:hint="eastAsia" w:hAnsi="仿宋"/>
        </w:rPr>
        <w:t>二、申报</w:t>
      </w:r>
    </w:p>
    <w:p>
      <w:pPr>
        <w:spacing w:line="240" w:lineRule="auto"/>
        <w:ind w:firstLine="640"/>
        <w:rPr>
          <w:rFonts w:hAnsi="仿宋"/>
        </w:rPr>
      </w:pPr>
      <w:r>
        <w:rPr>
          <w:rFonts w:hint="eastAsia" w:hAnsi="仿宋"/>
        </w:rPr>
        <w:t>主管部门按照本规划确定的任务量和重点布局，组织符合条件的示范区开展创建工作，编制申报材料，示范区创建单位填写《申报书》，并提供创建工作方案及证明材料。市级主管部门负责本市县级以上示范区申报工作的统筹安排和组织协调，县级主管部门负责本县示范园（点）申报工作的统筹安排和组织协调。</w:t>
      </w:r>
    </w:p>
    <w:p>
      <w:pPr>
        <w:pStyle w:val="5"/>
        <w:spacing w:line="240" w:lineRule="auto"/>
        <w:ind w:firstLine="643"/>
        <w:rPr>
          <w:rFonts w:hAnsi="仿宋"/>
          <w:b w:val="0"/>
        </w:rPr>
      </w:pPr>
      <w:r>
        <w:rPr>
          <w:rFonts w:hint="eastAsia" w:hAnsi="仿宋"/>
        </w:rPr>
        <w:t>三、认定</w:t>
      </w:r>
    </w:p>
    <w:p>
      <w:pPr>
        <w:spacing w:line="240" w:lineRule="auto"/>
        <w:ind w:firstLine="640"/>
        <w:rPr>
          <w:rFonts w:hAnsi="仿宋"/>
        </w:rPr>
      </w:pPr>
      <w:r>
        <w:rPr>
          <w:rFonts w:hint="eastAsia" w:hAnsi="仿宋"/>
        </w:rPr>
        <w:t>自治区级现代特色农业示范区经市级主管部门初审后上报自治区，由自治区组织验收认定。县级现代特色农业示范区评估认定由县区主管部门初审后上报市，由市组织验收认定。示范园（点）由县级主管部门组织考核，报县（区）人民政府审定，由县（区）人民政府授予称号。</w:t>
      </w:r>
    </w:p>
    <w:p>
      <w:pPr>
        <w:spacing w:line="240" w:lineRule="auto"/>
        <w:ind w:firstLine="640"/>
      </w:pPr>
    </w:p>
    <w:p>
      <w:pPr>
        <w:pStyle w:val="3"/>
      </w:pPr>
      <w:r>
        <w:rPr>
          <w:rFonts w:hint="eastAsia"/>
        </w:rPr>
        <w:br w:type="page"/>
      </w:r>
      <w:bookmarkStart w:id="31" w:name="_Toc119667506"/>
      <w:r>
        <w:rPr>
          <w:rFonts w:hint="eastAsia"/>
        </w:rPr>
        <w:t>第八章 保障措施</w:t>
      </w:r>
      <w:bookmarkEnd w:id="31"/>
    </w:p>
    <w:p>
      <w:pPr>
        <w:ind w:firstLine="640"/>
      </w:pPr>
    </w:p>
    <w:p>
      <w:pPr>
        <w:pStyle w:val="4"/>
        <w:spacing w:after="292" w:afterLines="50" w:line="240" w:lineRule="auto"/>
      </w:pPr>
      <w:bookmarkStart w:id="32" w:name="_Toc119667507"/>
      <w:r>
        <w:rPr>
          <w:rFonts w:hint="eastAsia"/>
        </w:rPr>
        <w:t>第一节 政策保障</w:t>
      </w:r>
      <w:bookmarkEnd w:id="32"/>
    </w:p>
    <w:p>
      <w:pPr>
        <w:spacing w:line="240" w:lineRule="auto"/>
        <w:ind w:firstLine="640"/>
        <w:rPr>
          <w:shd w:val="clear" w:color="auto" w:fill="FFFFFF"/>
        </w:rPr>
      </w:pPr>
      <w:r>
        <w:rPr>
          <w:rFonts w:hint="eastAsia"/>
          <w:shd w:val="clear" w:color="auto" w:fill="FFFFFF"/>
        </w:rPr>
        <w:t>积极争取上级涉农政策支持，加快完善示范区建设土地、资金、人才等要素支撑的政策措施，推动支农政策系统化和协同化，确保各项政策可落地、可操作、可见效。认真贯彻落实国家、自治区关于农业补贴的各项政策。强化示范区防灾减灾稳产增产关键技术补助。创新管理服务，加强监督检查，把各类补贴政策、农业项目执行好、落实好，发挥政策的激励、引领和示范带动作用。完善乡村产业发展用地政策体系，明确用地类型和供地方式，实行分类管理。建立健全农村居民收入增长长效机制，确保示范区现代化建设过程中的收益更多分享给农民群体。强化领导干部目标责任制，加强对示范区政策落实情况的检查监督与整改，确保各项政策落实到位。</w:t>
      </w:r>
    </w:p>
    <w:p>
      <w:pPr>
        <w:spacing w:line="240" w:lineRule="auto"/>
        <w:ind w:firstLine="640"/>
      </w:pPr>
      <w:r>
        <w:t>一是加强政府资金扶持力度，规范公益性、基础性、示范性项目和政策性产业引导扶持奖励等，探索推广政策性渔业保险，开展科学研究和技术培训，扶持农渔民发展渔业生产等，以引导养殖向规范化、标准化、环保化发展。二是加强对龙头企业的扶持，对符合条件的龙头企业银行贷款， 按金融扶持政策落实贷款贴息或给予低息优惠，通过多种渠道招商引资，引进国内外渔业生产加工大企业、集团和城市工商资本发展渔业。</w:t>
      </w:r>
    </w:p>
    <w:p>
      <w:pPr>
        <w:spacing w:line="240" w:lineRule="auto"/>
        <w:ind w:firstLine="640"/>
      </w:pPr>
    </w:p>
    <w:p>
      <w:pPr>
        <w:pStyle w:val="4"/>
        <w:spacing w:after="292" w:afterLines="50" w:line="240" w:lineRule="auto"/>
      </w:pPr>
      <w:bookmarkStart w:id="33" w:name="_Toc119667508"/>
      <w:r>
        <w:rPr>
          <w:rFonts w:hint="eastAsia"/>
        </w:rPr>
        <w:t>第二节 组织保障</w:t>
      </w:r>
      <w:bookmarkEnd w:id="33"/>
    </w:p>
    <w:p>
      <w:pPr>
        <w:spacing w:line="240" w:lineRule="auto"/>
        <w:ind w:firstLine="640"/>
      </w:pPr>
      <w:r>
        <w:rPr>
          <w:rFonts w:hint="eastAsia"/>
        </w:rPr>
        <w:t>建立钦州市现代特色农业示范区“十四五”建设规划实施推进领导小组，负责钦州市现代特色农业示范区建设发展的总体指导和协调。建立完善领导小组联席会议制度，加强综合协调，强化部门之间的信息交流与会商制度，搞好协调配合，提高服务意识，形成工作合力，切实承担职责，及时解决存在的问题，提高服务效率。钦州市各县区各有关部门要高度重视示范区建设工作，切实把示范区高质量建设摆在实施乡村振兴战略的重要位置加以落实，结合各自职责，出台政策措施积极支持示范区建设，精心组织，制定方案，狠抓落实。督促各县区政府把“十四五”现代特色农业示范区建设发展业绩纳入领导干部考核指标，完善考核奖励机制。各县区要按照自治区、市的决策部署，落实示范区工作专职机构和专班人员，要认真研究解决财政、用地、金融、人才等关键问题，全力支持示范区建设。充分调动和发挥基层党组织的领导带动作用，为推动示范区高质量发展提供坚强有力的组织保障。</w:t>
      </w:r>
    </w:p>
    <w:p>
      <w:pPr>
        <w:pStyle w:val="4"/>
        <w:spacing w:before="292" w:beforeLines="50" w:after="292" w:afterLines="50" w:line="240" w:lineRule="auto"/>
      </w:pPr>
      <w:bookmarkStart w:id="34" w:name="_Toc119667509"/>
      <w:r>
        <w:rPr>
          <w:rFonts w:hint="eastAsia"/>
        </w:rPr>
        <w:t>第三节 土地保障</w:t>
      </w:r>
      <w:bookmarkEnd w:id="34"/>
    </w:p>
    <w:p>
      <w:pPr>
        <w:spacing w:line="240" w:lineRule="auto"/>
        <w:ind w:firstLine="640"/>
      </w:pPr>
      <w:r>
        <w:rPr>
          <w:rFonts w:hint="eastAsia"/>
        </w:rPr>
        <w:t>鼓励以长期租赁、先租后让、租让结合、合作经营等方式，盘活利用</w:t>
      </w:r>
      <w:r>
        <w:rPr>
          <w:rFonts w:ascii="Arial" w:hAnsi="Arial" w:cs="Arial"/>
          <w:shd w:val="clear" w:color="auto" w:fill="FFFFFF"/>
        </w:rPr>
        <w:t>农村闲置房屋、集体建设用地、</w:t>
      </w:r>
      <w:r>
        <w:rPr>
          <w:rFonts w:hint="eastAsia" w:ascii="Arial" w:hAnsi="Arial" w:cs="Arial"/>
          <w:shd w:val="clear" w:color="auto" w:fill="FFFFFF"/>
        </w:rPr>
        <w:t>“</w:t>
      </w:r>
      <w:r>
        <w:rPr>
          <w:rFonts w:ascii="Arial" w:hAnsi="Arial" w:cs="Arial"/>
          <w:shd w:val="clear" w:color="auto" w:fill="FFFFFF"/>
        </w:rPr>
        <w:t>四荒地</w:t>
      </w:r>
      <w:r>
        <w:rPr>
          <w:rFonts w:hint="eastAsia" w:ascii="Arial" w:hAnsi="Arial" w:cs="Arial"/>
          <w:shd w:val="clear" w:color="auto" w:fill="FFFFFF"/>
        </w:rPr>
        <w:t>”</w:t>
      </w:r>
      <w:r>
        <w:rPr>
          <w:rFonts w:ascii="Arial" w:hAnsi="Arial" w:cs="Arial"/>
          <w:shd w:val="clear" w:color="auto" w:fill="FFFFFF"/>
        </w:rPr>
        <w:t>、可用林场和水面等资产资源</w:t>
      </w:r>
      <w:r>
        <w:rPr>
          <w:rFonts w:hint="eastAsia"/>
        </w:rPr>
        <w:t>发展特色农业示范区，</w:t>
      </w:r>
      <w:r>
        <w:rPr>
          <w:rFonts w:ascii="Arial" w:hAnsi="Arial" w:cs="Arial"/>
          <w:shd w:val="clear" w:color="auto" w:fill="FFFFFF"/>
        </w:rPr>
        <w:t>在符合生态环境保护要求和相关规划的前提下，对使用荒山、荒地、荒滩及石漠化土地建设的旅游项目，优先安排新增建设用地计划指标，出让底价可按不低于土地取得成本、土地前期开发成本和按规定应收取相关费用之和的原则确定。对复垦利用垃圾场、废弃矿山等历史遗留损毁土地建设的旅游项目，实行</w:t>
      </w:r>
      <w:r>
        <w:rPr>
          <w:rFonts w:hint="eastAsia" w:ascii="Arial" w:hAnsi="Arial" w:cs="Arial"/>
          <w:shd w:val="clear" w:color="auto" w:fill="FFFFFF"/>
        </w:rPr>
        <w:t>“</w:t>
      </w:r>
      <w:r>
        <w:rPr>
          <w:rFonts w:ascii="Arial" w:hAnsi="Arial" w:cs="Arial"/>
          <w:shd w:val="clear" w:color="auto" w:fill="FFFFFF"/>
        </w:rPr>
        <w:t>谁投资、谁受益</w:t>
      </w:r>
      <w:r>
        <w:rPr>
          <w:rFonts w:hint="eastAsia" w:ascii="Arial" w:hAnsi="Arial" w:cs="Arial"/>
          <w:shd w:val="clear" w:color="auto" w:fill="FFFFFF"/>
        </w:rPr>
        <w:t>”</w:t>
      </w:r>
      <w:r>
        <w:rPr>
          <w:rFonts w:ascii="Arial" w:hAnsi="Arial" w:cs="Arial"/>
          <w:shd w:val="clear" w:color="auto" w:fill="FFFFFF"/>
        </w:rPr>
        <w:t>的原则，鼓励土地权利人自行复垦</w:t>
      </w:r>
      <w:r>
        <w:rPr>
          <w:rFonts w:hint="eastAsia" w:ascii="Arial" w:hAnsi="Arial" w:cs="Arial"/>
          <w:shd w:val="clear" w:color="auto" w:fill="FFFFFF"/>
        </w:rPr>
        <w:t>，</w:t>
      </w:r>
      <w:r>
        <w:rPr>
          <w:rFonts w:hint="eastAsia"/>
        </w:rPr>
        <w:t>从而打造一批农业产业融合发展示范区，促进“一二三产业”融合发展。</w:t>
      </w:r>
    </w:p>
    <w:p>
      <w:pPr>
        <w:widowControl/>
        <w:spacing w:line="240" w:lineRule="auto"/>
        <w:ind w:firstLine="640"/>
      </w:pPr>
      <w:r>
        <w:rPr>
          <w:rFonts w:hint="eastAsia"/>
        </w:rPr>
        <w:t>创新推出农村土地流转奖补政策，大力发展现代特色农业示范区。开展农村承包土地经营权、集体林权使用权等流转交易。稳妥推进农村集体经营性建设用地入市，开展农村宅基地制度改革，为农业示范区的创建提供土地支持。</w:t>
      </w:r>
    </w:p>
    <w:p>
      <w:pPr>
        <w:pStyle w:val="4"/>
        <w:spacing w:before="292" w:beforeLines="50" w:after="292" w:afterLines="50" w:line="240" w:lineRule="auto"/>
      </w:pPr>
      <w:bookmarkStart w:id="35" w:name="_Toc119667510"/>
      <w:r>
        <w:rPr>
          <w:rFonts w:hint="eastAsia"/>
        </w:rPr>
        <w:t>第四节 资金保障</w:t>
      </w:r>
      <w:bookmarkEnd w:id="35"/>
    </w:p>
    <w:p>
      <w:pPr>
        <w:spacing w:line="240" w:lineRule="auto"/>
        <w:ind w:firstLine="640"/>
      </w:pPr>
      <w:r>
        <w:rPr>
          <w:rFonts w:hint="eastAsia"/>
          <w:shd w:val="clear" w:color="auto" w:fill="FFFFFF"/>
        </w:rPr>
        <w:t>健全示范区投入保障机制，加快形成财政优先保障、金融重点倾斜、社会积极参与的多元投入格局。市政府和县（区）政府每年在财政预算中增加对现代特色农业示范区项目规划编制、包装申报和资金整合的专项投入，保障项目整合相关工作经费。市、县（区）</w:t>
      </w:r>
      <w:r>
        <w:rPr>
          <w:rFonts w:hint="eastAsia"/>
        </w:rPr>
        <w:t>财政局要根据自治区级现代特色农业示范项目申报建设情况，整合各类财政涉农资金以及社会帮扶资金等，用于实施现代特色农业示范项目建设。</w:t>
      </w:r>
    </w:p>
    <w:p>
      <w:pPr>
        <w:spacing w:line="240" w:lineRule="auto"/>
        <w:ind w:firstLine="640"/>
      </w:pPr>
      <w:r>
        <w:rPr>
          <w:rFonts w:hint="eastAsia"/>
          <w:shd w:val="clear" w:color="auto" w:fill="FFFFFF"/>
        </w:rPr>
        <w:t>探索钦州市农业供给侧结构性改革基金运作机制，发挥农业供给侧改革基金引导作用，撬动金融和社会资本更多投向示范区发展，设立钦州现代特色农业示范区资金使用计划，向全社会公开。争取和广西区农投集团或国内其他金融机构合作成立钦州农业投资基金，由农投牵头策划和精准针对农发行和国开行等金融资源。为潜在的农业园提供精准的金融服务,构建“银保担”风险共担的普惠金融服务体系，向示范区经营主体推出多种免抵押、免担保、低利率、可持续的普惠金融产品。探索有效盘活农村闲置资源资产的路径和方式，引导更多工商资本、金融资本、社会资本等投向示范区。</w:t>
      </w:r>
    </w:p>
    <w:p>
      <w:pPr>
        <w:pStyle w:val="4"/>
        <w:spacing w:before="292" w:beforeLines="50" w:after="292" w:afterLines="50" w:line="240" w:lineRule="auto"/>
      </w:pPr>
      <w:bookmarkStart w:id="36" w:name="_Toc119667511"/>
      <w:r>
        <w:rPr>
          <w:rFonts w:hint="eastAsia"/>
        </w:rPr>
        <w:t>第五节 科技保障</w:t>
      </w:r>
      <w:bookmarkEnd w:id="36"/>
    </w:p>
    <w:p>
      <w:pPr>
        <w:spacing w:line="240" w:lineRule="auto"/>
        <w:ind w:firstLine="640"/>
      </w:pPr>
      <w:r>
        <w:rPr>
          <w:rFonts w:hint="eastAsia"/>
        </w:rPr>
        <w:t>着力推进示范区农业科技创新驱动发展，加强与区内外知名农业科研院所合作，积极开展决策咨询、规划设计、技术攻关、业务指导和人才培训。加强农业科技成果转化，各级科技、农业农村等部门要加大对示范区科技创新和成果应用的支持力度，支持示范区内大型龙头企业争创国家级、自治区级重点实验室、工程技术研究中心等。加快农技推广服务信息化步伐，鼓舞农技人员、特聘农技员和专家通过手机A</w:t>
      </w:r>
      <w:r>
        <w:t>PP</w:t>
      </w:r>
      <w:r>
        <w:rPr>
          <w:rFonts w:hint="eastAsia"/>
        </w:rPr>
        <w:t>、微信、短视频、直播平台等方式，在线开展业务培训、问题解答、咨询指导互动沟通、技术普及等服务。创立示范区现代农业科技创新示范平台，围绕钦州市特色产业，积极促进现代农业科技成果转化和示范，开展科研、推广、培训工作，实施良种良法引进试验示范、成果转化集成创新、高层次人才培养、产业体系和服务模式建设、新型农民培训、农业科普等工程，形成高科技研发、转化、培训、推广一体化体系，将示范区建设成为钦州市农业科研，新品种引进、转化与创新集成的技术辐射源。</w:t>
      </w:r>
    </w:p>
    <w:p>
      <w:pPr>
        <w:pStyle w:val="4"/>
        <w:spacing w:after="292" w:afterLines="50" w:line="240" w:lineRule="auto"/>
      </w:pPr>
      <w:bookmarkStart w:id="37" w:name="_Toc119667512"/>
      <w:r>
        <w:rPr>
          <w:rFonts w:hint="eastAsia"/>
        </w:rPr>
        <w:t>第六节 人才保障</w:t>
      </w:r>
      <w:bookmarkEnd w:id="37"/>
    </w:p>
    <w:p>
      <w:pPr>
        <w:spacing w:line="240" w:lineRule="auto"/>
        <w:ind w:firstLine="640"/>
      </w:pPr>
      <w:r>
        <w:rPr>
          <w:rFonts w:hint="eastAsia"/>
        </w:rPr>
        <w:t>动员和鼓励科研机构、技术专家、农林科技特派员、产业体系创新团队首席专家等积极与示范区对接挂钩，强化示范区优良品种繁育、农副产品营销、农业经济管理等中高级人才的引进，加强示范区种植、畜牧、养殖等领域专业技术人才的培养，构建专家对口指导建设的人才支撑体系，确保每个自治区级现代特色农业示范区都有科研机构、技术专家对口帮扶。强化产业振兴人才培育，加强示范区人才服务管理和政策支持，支持大学生、退役军人、企业家、返乡入乡人员等到示范区干事创业。实施龙头企业、农民专业合作社、家庭农场、职业农民等示范区内新型经营主体的培育计划，着力培育一批“土专家”、“田秀才”、示范区领头人、电商人才、职业经理人，有效解决农村“空心化”、农业缺人的问题，不断壮大现代特色农业示范区发展人才队伍。培养更多知农爱农、扎根乡村的人才，营造示范区集聚天下英才的良好环境，全面提升示范区现代化发展的人才保障能力。</w:t>
      </w:r>
    </w:p>
    <w:p>
      <w:pPr>
        <w:pStyle w:val="4"/>
        <w:spacing w:before="292" w:beforeLines="50" w:after="292" w:afterLines="50" w:line="240" w:lineRule="auto"/>
      </w:pPr>
      <w:bookmarkStart w:id="38" w:name="_Toc119667513"/>
      <w:r>
        <w:rPr>
          <w:rFonts w:hint="eastAsia"/>
        </w:rPr>
        <w:t>第七节 监管保障</w:t>
      </w:r>
      <w:bookmarkEnd w:id="38"/>
    </w:p>
    <w:p>
      <w:pPr>
        <w:spacing w:line="240" w:lineRule="auto"/>
        <w:ind w:firstLine="640"/>
      </w:pPr>
      <w:r>
        <w:rPr>
          <w:rFonts w:hint="eastAsia"/>
        </w:rPr>
        <w:t>健全科学规范的行政问责制度，严格落实示范区建设主体责任，完善推进机制，强化协调服务，坚持责任到岗、到人。完善规划评估调整制度，及时开展中期评估。建立和完善动态监测和考核体系，将现代特色农业示范区建设作为各级各有关部门绩效考核的内容，逐层细化分解目标任务。根据评估情况以及当前形势变化需要进行规划修订的，由市农业农村局提出调整方案，提请市人民政府审议批准。创新评估方式，组织开展总结评估，探索实行年度评估，引入社会机构参与评估，增强规划评估的准确性和广泛性。加强规划实施监督，完善市农业农村局向市人民政府的报告和沟通机制，及时通报规划实施情况。示范区建设进度情况实行月通报、考核。建立检查督查机制，开展定期评价和交叉检查，动态监测情况在主流媒体公布，主动接受社会监督。</w:t>
      </w:r>
    </w:p>
    <w:p>
      <w:pPr>
        <w:pStyle w:val="4"/>
        <w:spacing w:before="292" w:beforeLines="50" w:after="292" w:afterLines="50" w:line="240" w:lineRule="auto"/>
      </w:pPr>
      <w:bookmarkStart w:id="39" w:name="_Toc119667514"/>
      <w:r>
        <w:rPr>
          <w:rFonts w:hint="eastAsia"/>
        </w:rPr>
        <w:t>第八节 加大招商引资力度</w:t>
      </w:r>
      <w:bookmarkEnd w:id="39"/>
    </w:p>
    <w:p>
      <w:pPr>
        <w:spacing w:line="240" w:lineRule="auto"/>
        <w:ind w:firstLine="640"/>
      </w:pPr>
      <w:r>
        <w:rPr>
          <w:rFonts w:hint="eastAsia"/>
        </w:rPr>
        <w:t>钦州市要发挥示范区的聚集效应，以延伸产业链和价值链为目的，</w:t>
      </w:r>
      <w:r>
        <w:rPr>
          <w:rFonts w:hint="eastAsia"/>
          <w:shd w:val="clear" w:color="auto" w:fill="FFFFFF"/>
        </w:rPr>
        <w:t>一是和投资促进局合作，策划一批针对农林牧渔业的大项目,面向国内相关行业的龙头企业精准招商，让钦州的农业产业的龙头在国内外资本市场上有一个零的突破。二是</w:t>
      </w:r>
      <w:r>
        <w:rPr>
          <w:rFonts w:hint="eastAsia"/>
        </w:rPr>
        <w:t>制定优惠政策与保障措施，积极引进大项目、大资金、大企业落户示范区，特别是要积极引资开展农产品加工和仓储冷链物流建设，要为示范区营造良好的营商环境，使落户的企业留得住并发展好。三</w:t>
      </w:r>
      <w:r>
        <w:t>是加强对龙头企业的扶持，对符合条件的龙头企业银行贷款， 按金融扶持政策落实贷款贴息或给予低息优惠，通过多种渠道招商引资，引进国内外</w:t>
      </w:r>
      <w:r>
        <w:rPr>
          <w:rFonts w:hint="eastAsia"/>
        </w:rPr>
        <w:t>农业</w:t>
      </w:r>
      <w:r>
        <w:t>企业、集团发展</w:t>
      </w:r>
      <w:r>
        <w:rPr>
          <w:rFonts w:hint="eastAsia"/>
        </w:rPr>
        <w:t>示范区</w:t>
      </w:r>
      <w:r>
        <w:t>。</w:t>
      </w:r>
    </w:p>
    <w:p>
      <w:pPr>
        <w:pStyle w:val="3"/>
        <w:spacing w:after="584"/>
        <w:sectPr>
          <w:footerReference r:id="rId13" w:type="default"/>
          <w:footerReference r:id="rId14" w:type="even"/>
          <w:pgSz w:w="11906" w:h="16838"/>
          <w:pgMar w:top="1701" w:right="1418" w:bottom="1418" w:left="1474" w:header="851" w:footer="992" w:gutter="0"/>
          <w:pgNumType w:fmt="numberInDash"/>
          <w:cols w:space="0" w:num="1"/>
          <w:docGrid w:type="lines" w:linePitch="584" w:charSpace="-849"/>
        </w:sectPr>
      </w:pPr>
    </w:p>
    <w:p>
      <w:pPr>
        <w:pStyle w:val="3"/>
      </w:pPr>
      <w:bookmarkStart w:id="40" w:name="_Toc119667515"/>
      <w:r>
        <w:rPr>
          <w:rFonts w:hint="eastAsia"/>
        </w:rPr>
        <w:t>附件1</w:t>
      </w:r>
      <w:r>
        <w:t xml:space="preserve"> </w:t>
      </w:r>
      <w:r>
        <w:rPr>
          <w:rFonts w:hint="eastAsia"/>
        </w:rPr>
        <w:t>建设任务分解表</w:t>
      </w:r>
      <w:bookmarkEnd w:id="40"/>
    </w:p>
    <w:p>
      <w:pPr>
        <w:ind w:firstLine="640"/>
      </w:pPr>
    </w:p>
    <w:p>
      <w:pPr>
        <w:spacing w:line="360" w:lineRule="auto"/>
        <w:ind w:firstLine="482"/>
        <w:jc w:val="center"/>
        <w:rPr>
          <w:b/>
          <w:bCs/>
          <w:sz w:val="24"/>
        </w:rPr>
      </w:pPr>
      <w:r>
        <w:rPr>
          <w:rFonts w:hint="eastAsia"/>
          <w:b/>
          <w:bCs/>
          <w:sz w:val="24"/>
        </w:rPr>
        <w:t>“十四五”期间钦州市各县（区）示范区建设任务年度分解表</w:t>
      </w:r>
    </w:p>
    <w:tbl>
      <w:tblPr>
        <w:tblStyle w:val="24"/>
        <w:tblpPr w:leftFromText="180" w:rightFromText="180" w:vertAnchor="text" w:horzAnchor="margin" w:tblpXSpec="center" w:tblpY="51"/>
        <w:tblOverlap w:val="never"/>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843"/>
        <w:gridCol w:w="709"/>
        <w:gridCol w:w="1417"/>
        <w:gridCol w:w="1560"/>
        <w:gridCol w:w="17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2" w:hRule="atLeast"/>
        </w:trPr>
        <w:tc>
          <w:tcPr>
            <w:tcW w:w="959" w:type="dxa"/>
            <w:vMerge w:val="restart"/>
            <w:tcBorders>
              <w:top w:val="single" w:color="auto" w:sz="4" w:space="0"/>
              <w:left w:val="single" w:color="auto" w:sz="4" w:space="0"/>
              <w:right w:val="single" w:color="auto" w:sz="4" w:space="0"/>
            </w:tcBorders>
            <w:vAlign w:val="center"/>
          </w:tcPr>
          <w:p>
            <w:pPr>
              <w:pStyle w:val="31"/>
              <w:jc w:val="center"/>
              <w:rPr>
                <w:b/>
                <w:bCs/>
                <w:sz w:val="24"/>
              </w:rPr>
            </w:pPr>
            <w:r>
              <w:rPr>
                <w:rFonts w:hint="eastAsia"/>
                <w:b/>
                <w:bCs/>
                <w:sz w:val="24"/>
              </w:rPr>
              <w:t>县区</w:t>
            </w:r>
          </w:p>
        </w:tc>
        <w:tc>
          <w:tcPr>
            <w:tcW w:w="850" w:type="dxa"/>
            <w:vMerge w:val="restart"/>
            <w:tcBorders>
              <w:top w:val="single" w:color="auto" w:sz="4" w:space="0"/>
              <w:left w:val="single" w:color="auto" w:sz="4" w:space="0"/>
              <w:right w:val="single" w:color="auto" w:sz="4" w:space="0"/>
            </w:tcBorders>
            <w:vAlign w:val="center"/>
          </w:tcPr>
          <w:p>
            <w:pPr>
              <w:pStyle w:val="31"/>
              <w:jc w:val="center"/>
              <w:rPr>
                <w:b/>
                <w:bCs/>
                <w:sz w:val="24"/>
              </w:rPr>
            </w:pPr>
            <w:r>
              <w:rPr>
                <w:rFonts w:hint="eastAsia"/>
                <w:b/>
                <w:bCs/>
                <w:sz w:val="24"/>
              </w:rPr>
              <w:t>合计</w:t>
            </w:r>
          </w:p>
        </w:tc>
        <w:tc>
          <w:tcPr>
            <w:tcW w:w="1843" w:type="dxa"/>
            <w:tcBorders>
              <w:top w:val="single" w:color="auto" w:sz="4" w:space="0"/>
              <w:left w:val="single" w:color="auto" w:sz="4" w:space="0"/>
              <w:right w:val="single" w:color="auto" w:sz="4" w:space="0"/>
            </w:tcBorders>
            <w:vAlign w:val="center"/>
          </w:tcPr>
          <w:p>
            <w:pPr>
              <w:pStyle w:val="31"/>
              <w:jc w:val="center"/>
              <w:rPr>
                <w:b/>
                <w:bCs/>
                <w:sz w:val="24"/>
              </w:rPr>
            </w:pPr>
            <w:r>
              <w:rPr>
                <w:rFonts w:hint="eastAsia"/>
                <w:b/>
                <w:bCs/>
                <w:sz w:val="24"/>
              </w:rPr>
              <w:t>国家级</w:t>
            </w:r>
          </w:p>
        </w:tc>
        <w:tc>
          <w:tcPr>
            <w:tcW w:w="3686" w:type="dxa"/>
            <w:gridSpan w:val="3"/>
            <w:tcBorders>
              <w:top w:val="single" w:color="auto" w:sz="4" w:space="0"/>
              <w:left w:val="single" w:color="auto" w:sz="4" w:space="0"/>
              <w:right w:val="single" w:color="auto" w:sz="4" w:space="0"/>
            </w:tcBorders>
            <w:vAlign w:val="center"/>
          </w:tcPr>
          <w:p>
            <w:pPr>
              <w:pStyle w:val="31"/>
              <w:jc w:val="center"/>
              <w:rPr>
                <w:b/>
                <w:bCs/>
                <w:sz w:val="24"/>
              </w:rPr>
            </w:pPr>
            <w:r>
              <w:rPr>
                <w:rFonts w:hint="eastAsia"/>
                <w:b/>
                <w:bCs/>
                <w:sz w:val="24"/>
              </w:rPr>
              <w:t>自治区级示范区</w:t>
            </w:r>
          </w:p>
        </w:tc>
        <w:tc>
          <w:tcPr>
            <w:tcW w:w="1734" w:type="dxa"/>
            <w:tcBorders>
              <w:top w:val="single" w:color="auto" w:sz="4" w:space="0"/>
              <w:left w:val="single" w:color="auto" w:sz="4" w:space="0"/>
              <w:right w:val="single" w:color="auto" w:sz="4" w:space="0"/>
            </w:tcBorders>
            <w:vAlign w:val="center"/>
          </w:tcPr>
          <w:p>
            <w:pPr>
              <w:pStyle w:val="31"/>
              <w:jc w:val="center"/>
              <w:rPr>
                <w:b/>
                <w:bCs/>
                <w:sz w:val="24"/>
              </w:rPr>
            </w:pPr>
            <w:r>
              <w:rPr>
                <w:rFonts w:hint="eastAsia"/>
                <w:b/>
                <w:bCs/>
                <w:sz w:val="24"/>
              </w:rPr>
              <w:t>县级示范区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7" w:hRule="atLeast"/>
        </w:trPr>
        <w:tc>
          <w:tcPr>
            <w:tcW w:w="959" w:type="dxa"/>
            <w:vMerge w:val="continue"/>
            <w:tcBorders>
              <w:left w:val="single" w:color="auto" w:sz="4" w:space="0"/>
              <w:bottom w:val="single" w:color="auto" w:sz="4" w:space="0"/>
              <w:right w:val="single" w:color="auto" w:sz="4" w:space="0"/>
            </w:tcBorders>
            <w:vAlign w:val="center"/>
          </w:tcPr>
          <w:p>
            <w:pPr>
              <w:pStyle w:val="31"/>
              <w:jc w:val="center"/>
              <w:rPr>
                <w:sz w:val="24"/>
              </w:rPr>
            </w:pPr>
          </w:p>
        </w:tc>
        <w:tc>
          <w:tcPr>
            <w:tcW w:w="850" w:type="dxa"/>
            <w:vMerge w:val="continue"/>
            <w:tcBorders>
              <w:left w:val="single" w:color="auto" w:sz="4" w:space="0"/>
              <w:bottom w:val="single" w:color="auto" w:sz="4" w:space="0"/>
              <w:right w:val="single" w:color="auto" w:sz="4" w:space="0"/>
            </w:tcBorders>
            <w:vAlign w:val="center"/>
          </w:tcPr>
          <w:p>
            <w:pPr>
              <w:pStyle w:val="31"/>
              <w:jc w:val="center"/>
              <w:rPr>
                <w:sz w:val="24"/>
              </w:rPr>
            </w:pPr>
          </w:p>
        </w:tc>
        <w:tc>
          <w:tcPr>
            <w:tcW w:w="1843" w:type="dxa"/>
            <w:tcBorders>
              <w:left w:val="single" w:color="auto" w:sz="4" w:space="0"/>
              <w:bottom w:val="single" w:color="auto" w:sz="4" w:space="0"/>
              <w:right w:val="single" w:color="auto" w:sz="4" w:space="0"/>
            </w:tcBorders>
            <w:vAlign w:val="center"/>
          </w:tcPr>
          <w:p>
            <w:pPr>
              <w:pStyle w:val="31"/>
              <w:jc w:val="center"/>
              <w:rPr>
                <w:b/>
                <w:sz w:val="24"/>
              </w:rPr>
            </w:pPr>
            <w:r>
              <w:rPr>
                <w:rFonts w:hint="eastAsia"/>
                <w:b/>
                <w:sz w:val="24"/>
              </w:rPr>
              <w:t>新建</w:t>
            </w:r>
          </w:p>
        </w:tc>
        <w:tc>
          <w:tcPr>
            <w:tcW w:w="709" w:type="dxa"/>
            <w:tcBorders>
              <w:left w:val="single" w:color="auto" w:sz="4" w:space="0"/>
              <w:bottom w:val="single" w:color="auto" w:sz="4" w:space="0"/>
              <w:right w:val="single" w:color="auto" w:sz="4" w:space="0"/>
            </w:tcBorders>
            <w:vAlign w:val="center"/>
          </w:tcPr>
          <w:p>
            <w:pPr>
              <w:pStyle w:val="31"/>
              <w:jc w:val="center"/>
              <w:rPr>
                <w:b/>
                <w:sz w:val="24"/>
              </w:rPr>
            </w:pPr>
            <w:r>
              <w:rPr>
                <w:rFonts w:hint="eastAsia"/>
                <w:b/>
                <w:sz w:val="24"/>
              </w:rPr>
              <w:t>小计</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rPr>
                <w:b/>
                <w:spacing w:val="-11"/>
                <w:sz w:val="24"/>
              </w:rPr>
            </w:pPr>
            <w:r>
              <w:rPr>
                <w:rFonts w:hint="eastAsia"/>
                <w:b/>
                <w:spacing w:val="-11"/>
                <w:sz w:val="24"/>
              </w:rPr>
              <w:t>升级</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rPr>
                <w:b/>
                <w:spacing w:val="-11"/>
                <w:sz w:val="24"/>
              </w:rPr>
            </w:pPr>
            <w:r>
              <w:rPr>
                <w:rFonts w:hint="eastAsia"/>
                <w:b/>
                <w:spacing w:val="-11"/>
                <w:sz w:val="24"/>
              </w:rPr>
              <w:t>新建</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rPr>
                <w:b/>
                <w:spacing w:val="-11"/>
                <w:sz w:val="24"/>
              </w:rPr>
            </w:pPr>
            <w:r>
              <w:rPr>
                <w:rFonts w:hint="eastAsia"/>
                <w:b/>
                <w:spacing w:val="-11"/>
                <w:sz w:val="24"/>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7"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jc w:val="center"/>
              <w:rPr>
                <w:b/>
                <w:bCs/>
                <w:sz w:val="22"/>
              </w:rPr>
            </w:pPr>
            <w:r>
              <w:rPr>
                <w:rFonts w:hint="eastAsia"/>
                <w:b/>
                <w:bCs/>
                <w:sz w:val="22"/>
              </w:rPr>
              <w:t>灵山县</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13</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rFonts w:hint="eastAsia"/>
                <w:b/>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6</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pPr>
            <w:r>
              <w:t>2</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pPr>
            <w:r>
              <w:t>4</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pPr>
            <w:r>
              <w:rPr>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4"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jc w:val="center"/>
              <w:rPr>
                <w:b/>
                <w:bCs/>
                <w:sz w:val="22"/>
              </w:rPr>
            </w:pPr>
            <w:r>
              <w:rPr>
                <w:rFonts w:hint="eastAsia"/>
                <w:b/>
                <w:bCs/>
                <w:sz w:val="22"/>
              </w:rPr>
              <w:t>浦北县</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15</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rFonts w:hint="eastAsia"/>
                <w:b/>
              </w:rPr>
              <w:t>1</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7</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pPr>
            <w:r>
              <w:t>3</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pPr>
            <w:r>
              <w:t>4</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pPr>
            <w:r>
              <w:rPr>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4"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jc w:val="center"/>
              <w:rPr>
                <w:b/>
                <w:bCs/>
                <w:sz w:val="22"/>
              </w:rPr>
            </w:pPr>
            <w:r>
              <w:rPr>
                <w:rFonts w:hint="eastAsia"/>
                <w:b/>
                <w:bCs/>
                <w:sz w:val="22"/>
              </w:rPr>
              <w:t>钦南区</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10</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rFonts w:hint="eastAsia"/>
                <w:b/>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5</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pPr>
            <w:r>
              <w:rPr>
                <w:rFonts w:hint="eastAsia"/>
              </w:rPr>
              <w:t>3</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pPr>
            <w:r>
              <w:t>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pPr>
            <w:r>
              <w:rPr>
                <w:b/>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0"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jc w:val="center"/>
              <w:rPr>
                <w:b/>
                <w:bCs/>
                <w:sz w:val="22"/>
              </w:rPr>
            </w:pPr>
            <w:r>
              <w:rPr>
                <w:rFonts w:hint="eastAsia"/>
                <w:b/>
                <w:bCs/>
                <w:sz w:val="22"/>
              </w:rPr>
              <w:t>钦北区</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jc w:val="center"/>
              <w:rPr>
                <w:b/>
                <w:color w:val="000000" w:themeColor="text1"/>
                <w14:textFill>
                  <w14:solidFill>
                    <w14:schemeClr w14:val="tx1"/>
                  </w14:solidFill>
                </w14:textFill>
              </w:rPr>
            </w:pPr>
            <w:r>
              <w:rPr>
                <w:b/>
                <w:color w:val="000000" w:themeColor="text1"/>
                <w14:textFill>
                  <w14:solidFill>
                    <w14:schemeClr w14:val="tx1"/>
                  </w14:solidFill>
                </w14:textFill>
              </w:rPr>
              <w:t>11</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jc w:val="center"/>
              <w:rPr>
                <w:b/>
                <w:color w:val="000000" w:themeColor="text1"/>
                <w14:textFill>
                  <w14:solidFill>
                    <w14:schemeClr w14:val="tx1"/>
                  </w14:solidFill>
                </w14:textFill>
              </w:rPr>
            </w:pPr>
            <w:r>
              <w:rPr>
                <w:b/>
                <w:color w:val="000000" w:themeColor="text1"/>
                <w14:textFill>
                  <w14:solidFill>
                    <w14:schemeClr w14:val="tx1"/>
                  </w14:solidFill>
                </w14:textFill>
              </w:rPr>
              <w:t>6</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4</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pPr>
            <w:r>
              <w:rPr>
                <w:b/>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2" w:hRule="atLeast"/>
        </w:trPr>
        <w:tc>
          <w:tcPr>
            <w:tcW w:w="959" w:type="dxa"/>
            <w:tcBorders>
              <w:top w:val="single" w:color="auto" w:sz="4" w:space="0"/>
              <w:left w:val="single" w:color="auto" w:sz="4" w:space="0"/>
              <w:bottom w:val="single" w:color="auto" w:sz="4" w:space="0"/>
              <w:right w:val="single" w:color="auto" w:sz="4" w:space="0"/>
            </w:tcBorders>
            <w:vAlign w:val="center"/>
          </w:tcPr>
          <w:p>
            <w:pPr>
              <w:pStyle w:val="31"/>
              <w:jc w:val="center"/>
              <w:rPr>
                <w:b/>
                <w:bCs/>
                <w:sz w:val="22"/>
              </w:rPr>
            </w:pPr>
            <w:r>
              <w:rPr>
                <w:rFonts w:hint="eastAsia"/>
                <w:b/>
                <w:bCs/>
                <w:sz w:val="22"/>
              </w:rPr>
              <w:t>合计</w:t>
            </w:r>
          </w:p>
        </w:tc>
        <w:tc>
          <w:tcPr>
            <w:tcW w:w="850"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49</w:t>
            </w:r>
          </w:p>
        </w:tc>
        <w:tc>
          <w:tcPr>
            <w:tcW w:w="1843"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rFonts w:hint="eastAsia"/>
                <w:b/>
              </w:rPr>
              <w:t>1</w:t>
            </w:r>
          </w:p>
        </w:tc>
        <w:tc>
          <w:tcPr>
            <w:tcW w:w="709" w:type="dxa"/>
            <w:tcBorders>
              <w:top w:val="single" w:color="auto" w:sz="4" w:space="0"/>
              <w:left w:val="single" w:color="auto" w:sz="4" w:space="0"/>
              <w:bottom w:val="single" w:color="auto" w:sz="4" w:space="0"/>
              <w:right w:val="single" w:color="auto" w:sz="4" w:space="0"/>
            </w:tcBorders>
            <w:vAlign w:val="center"/>
          </w:tcPr>
          <w:p>
            <w:pPr>
              <w:pStyle w:val="31"/>
              <w:jc w:val="center"/>
              <w:rPr>
                <w:b/>
              </w:rPr>
            </w:pPr>
            <w:r>
              <w:rPr>
                <w:b/>
              </w:rPr>
              <w:t>24</w:t>
            </w:r>
          </w:p>
        </w:tc>
        <w:tc>
          <w:tcPr>
            <w:tcW w:w="1417" w:type="dxa"/>
            <w:tcBorders>
              <w:top w:val="single" w:color="auto" w:sz="4" w:space="0"/>
              <w:left w:val="single" w:color="auto" w:sz="4" w:space="0"/>
              <w:bottom w:val="single" w:color="auto" w:sz="4" w:space="0"/>
              <w:right w:val="single" w:color="auto" w:sz="4" w:space="0"/>
            </w:tcBorders>
            <w:vAlign w:val="center"/>
          </w:tcPr>
          <w:p>
            <w:pPr>
              <w:pStyle w:val="31"/>
              <w:jc w:val="center"/>
            </w:pPr>
            <w:r>
              <w:rPr>
                <w:rFonts w:hint="eastAsia"/>
              </w:rPr>
              <w:t>1</w:t>
            </w:r>
            <w:r>
              <w:t>2</w:t>
            </w:r>
          </w:p>
        </w:tc>
        <w:tc>
          <w:tcPr>
            <w:tcW w:w="1560" w:type="dxa"/>
            <w:tcBorders>
              <w:top w:val="single" w:color="auto" w:sz="4" w:space="0"/>
              <w:left w:val="single" w:color="auto" w:sz="4" w:space="0"/>
              <w:bottom w:val="single" w:color="auto" w:sz="4" w:space="0"/>
              <w:right w:val="single" w:color="auto" w:sz="4" w:space="0"/>
            </w:tcBorders>
            <w:vAlign w:val="center"/>
          </w:tcPr>
          <w:p>
            <w:pPr>
              <w:pStyle w:val="31"/>
              <w:jc w:val="center"/>
            </w:pPr>
            <w:r>
              <w:t>12</w:t>
            </w:r>
          </w:p>
        </w:tc>
        <w:tc>
          <w:tcPr>
            <w:tcW w:w="1734" w:type="dxa"/>
            <w:tcBorders>
              <w:top w:val="single" w:color="auto" w:sz="4" w:space="0"/>
              <w:left w:val="single" w:color="auto" w:sz="4" w:space="0"/>
              <w:bottom w:val="single" w:color="auto" w:sz="4" w:space="0"/>
              <w:right w:val="single" w:color="auto" w:sz="4" w:space="0"/>
            </w:tcBorders>
            <w:vAlign w:val="center"/>
          </w:tcPr>
          <w:p>
            <w:pPr>
              <w:pStyle w:val="31"/>
              <w:jc w:val="center"/>
            </w:pPr>
            <w:r>
              <w:rPr>
                <w:b/>
              </w:rPr>
              <w:t>24</w:t>
            </w:r>
          </w:p>
        </w:tc>
      </w:tr>
    </w:tbl>
    <w:p>
      <w:pPr>
        <w:ind w:firstLine="640"/>
      </w:pPr>
    </w:p>
    <w:p>
      <w:pPr>
        <w:ind w:firstLine="640"/>
      </w:pPr>
    </w:p>
    <w:p>
      <w:pPr>
        <w:ind w:firstLine="640"/>
      </w:pPr>
    </w:p>
    <w:p>
      <w:pPr>
        <w:ind w:firstLine="640"/>
      </w:pPr>
    </w:p>
    <w:p>
      <w:pPr>
        <w:ind w:firstLine="640"/>
      </w:pPr>
    </w:p>
    <w:p>
      <w:pPr>
        <w:ind w:firstLine="640"/>
      </w:pPr>
    </w:p>
    <w:p>
      <w:pPr>
        <w:ind w:firstLine="640"/>
      </w:pPr>
    </w:p>
    <w:p>
      <w:pPr>
        <w:ind w:firstLine="640"/>
      </w:pPr>
    </w:p>
    <w:p>
      <w:pPr>
        <w:ind w:firstLine="640"/>
      </w:pPr>
    </w:p>
    <w:p>
      <w:pPr>
        <w:spacing w:line="200" w:lineRule="exact"/>
        <w:ind w:firstLine="0" w:firstLineChars="0"/>
        <w:jc w:val="left"/>
        <w:rPr>
          <w:sz w:val="21"/>
          <w:szCs w:val="18"/>
        </w:rPr>
      </w:pPr>
    </w:p>
    <w:p>
      <w:pPr>
        <w:widowControl/>
        <w:spacing w:line="240" w:lineRule="auto"/>
        <w:ind w:firstLine="0" w:firstLineChars="0"/>
        <w:jc w:val="left"/>
      </w:pPr>
      <w:r>
        <w:br w:type="page"/>
      </w:r>
    </w:p>
    <w:p>
      <w:pPr>
        <w:pStyle w:val="3"/>
      </w:pPr>
      <w:bookmarkStart w:id="41" w:name="_Toc119667516"/>
      <w:r>
        <w:rPr>
          <w:rFonts w:hint="eastAsia"/>
        </w:rPr>
        <w:t>附件2</w:t>
      </w:r>
      <w:r>
        <w:t xml:space="preserve"> </w:t>
      </w:r>
      <w:r>
        <w:rPr>
          <w:rFonts w:hint="eastAsia"/>
        </w:rPr>
        <w:t>发展规划表</w:t>
      </w:r>
      <w:bookmarkEnd w:id="41"/>
    </w:p>
    <w:p>
      <w:pPr>
        <w:ind w:firstLine="640"/>
      </w:pPr>
    </w:p>
    <w:p>
      <w:pPr>
        <w:autoSpaceDE w:val="0"/>
        <w:autoSpaceDN w:val="0"/>
        <w:adjustRightInd w:val="0"/>
        <w:snapToGrid w:val="0"/>
        <w:spacing w:line="360" w:lineRule="auto"/>
        <w:ind w:firstLine="482"/>
        <w:jc w:val="center"/>
        <w:rPr>
          <w:b/>
          <w:bCs/>
          <w:sz w:val="24"/>
        </w:rPr>
      </w:pPr>
      <w:r>
        <w:rPr>
          <w:rFonts w:hint="eastAsia"/>
          <w:b/>
          <w:bCs/>
          <w:sz w:val="24"/>
        </w:rPr>
        <w:t>钦州市“十四五”时期现代特色农业示范区发展规划表</w:t>
      </w:r>
    </w:p>
    <w:tbl>
      <w:tblPr>
        <w:tblStyle w:val="24"/>
        <w:tblW w:w="139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6"/>
        <w:gridCol w:w="1012"/>
        <w:gridCol w:w="1870"/>
        <w:gridCol w:w="1441"/>
        <w:gridCol w:w="1441"/>
        <w:gridCol w:w="6728"/>
        <w:gridCol w:w="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716" w:type="dxa"/>
            <w:vAlign w:val="center"/>
          </w:tcPr>
          <w:p>
            <w:pPr>
              <w:pStyle w:val="31"/>
              <w:spacing w:line="240" w:lineRule="auto"/>
              <w:jc w:val="center"/>
              <w:rPr>
                <w:b/>
                <w:bCs/>
                <w:sz w:val="24"/>
              </w:rPr>
            </w:pPr>
            <w:r>
              <w:rPr>
                <w:rFonts w:hint="eastAsia"/>
                <w:b/>
                <w:bCs/>
                <w:sz w:val="24"/>
              </w:rPr>
              <w:t>序号</w:t>
            </w:r>
          </w:p>
        </w:tc>
        <w:tc>
          <w:tcPr>
            <w:tcW w:w="1012" w:type="dxa"/>
            <w:vAlign w:val="center"/>
          </w:tcPr>
          <w:p>
            <w:pPr>
              <w:pStyle w:val="31"/>
              <w:spacing w:line="240" w:lineRule="auto"/>
              <w:jc w:val="center"/>
              <w:rPr>
                <w:b/>
                <w:bCs/>
                <w:sz w:val="24"/>
              </w:rPr>
            </w:pPr>
            <w:r>
              <w:rPr>
                <w:rFonts w:hint="eastAsia"/>
                <w:b/>
                <w:bCs/>
                <w:sz w:val="24"/>
              </w:rPr>
              <w:t>级别</w:t>
            </w:r>
          </w:p>
        </w:tc>
        <w:tc>
          <w:tcPr>
            <w:tcW w:w="1870" w:type="dxa"/>
            <w:vAlign w:val="center"/>
          </w:tcPr>
          <w:p>
            <w:pPr>
              <w:pStyle w:val="31"/>
              <w:spacing w:line="240" w:lineRule="auto"/>
              <w:jc w:val="center"/>
              <w:rPr>
                <w:b/>
                <w:bCs/>
                <w:sz w:val="24"/>
              </w:rPr>
            </w:pPr>
            <w:r>
              <w:rPr>
                <w:rFonts w:hint="eastAsia"/>
                <w:b/>
                <w:bCs/>
                <w:sz w:val="24"/>
              </w:rPr>
              <w:t>名称</w:t>
            </w:r>
          </w:p>
        </w:tc>
        <w:tc>
          <w:tcPr>
            <w:tcW w:w="1441" w:type="dxa"/>
            <w:vAlign w:val="center"/>
          </w:tcPr>
          <w:p>
            <w:pPr>
              <w:pStyle w:val="31"/>
              <w:spacing w:line="240" w:lineRule="auto"/>
              <w:jc w:val="center"/>
              <w:rPr>
                <w:b/>
                <w:bCs/>
                <w:sz w:val="24"/>
              </w:rPr>
            </w:pPr>
            <w:r>
              <w:rPr>
                <w:rFonts w:hint="eastAsia"/>
                <w:b/>
                <w:bCs/>
                <w:sz w:val="24"/>
              </w:rPr>
              <w:t>主导产业</w:t>
            </w:r>
          </w:p>
        </w:tc>
        <w:tc>
          <w:tcPr>
            <w:tcW w:w="1441" w:type="dxa"/>
            <w:vAlign w:val="center"/>
          </w:tcPr>
          <w:p>
            <w:pPr>
              <w:pStyle w:val="31"/>
              <w:spacing w:line="240" w:lineRule="auto"/>
              <w:jc w:val="center"/>
              <w:rPr>
                <w:b/>
                <w:bCs/>
                <w:sz w:val="24"/>
              </w:rPr>
            </w:pPr>
            <w:r>
              <w:rPr>
                <w:rFonts w:hint="eastAsia"/>
                <w:b/>
                <w:bCs/>
                <w:sz w:val="24"/>
              </w:rPr>
              <w:t>功能定位</w:t>
            </w:r>
          </w:p>
        </w:tc>
        <w:tc>
          <w:tcPr>
            <w:tcW w:w="6728" w:type="dxa"/>
            <w:vAlign w:val="center"/>
          </w:tcPr>
          <w:p>
            <w:pPr>
              <w:pStyle w:val="31"/>
              <w:spacing w:line="240" w:lineRule="auto"/>
              <w:jc w:val="center"/>
              <w:rPr>
                <w:b/>
                <w:bCs/>
                <w:sz w:val="24"/>
              </w:rPr>
            </w:pPr>
            <w:r>
              <w:rPr>
                <w:rFonts w:hint="eastAsia"/>
                <w:b/>
                <w:bCs/>
                <w:sz w:val="24"/>
              </w:rPr>
              <w:t>发展方向</w:t>
            </w:r>
          </w:p>
        </w:tc>
        <w:tc>
          <w:tcPr>
            <w:tcW w:w="727" w:type="dxa"/>
            <w:vAlign w:val="center"/>
          </w:tcPr>
          <w:p>
            <w:pPr>
              <w:pStyle w:val="31"/>
              <w:spacing w:line="240" w:lineRule="auto"/>
              <w:jc w:val="center"/>
              <w:rPr>
                <w:b/>
                <w:bCs/>
                <w:sz w:val="24"/>
              </w:rPr>
            </w:pPr>
            <w:r>
              <w:rPr>
                <w:rFonts w:hint="eastAsia"/>
                <w:b/>
                <w:bCs/>
                <w:sz w:val="24"/>
              </w:rPr>
              <w:t>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73" w:hRule="atLeast"/>
          <w:jc w:val="center"/>
        </w:trPr>
        <w:tc>
          <w:tcPr>
            <w:tcW w:w="716" w:type="dxa"/>
            <w:vAlign w:val="center"/>
          </w:tcPr>
          <w:p>
            <w:pPr>
              <w:pStyle w:val="31"/>
              <w:jc w:val="center"/>
            </w:pPr>
            <w:r>
              <w:rPr>
                <w:rFonts w:hint="eastAsia"/>
              </w:rPr>
              <w:t>1</w:t>
            </w:r>
          </w:p>
        </w:tc>
        <w:tc>
          <w:tcPr>
            <w:tcW w:w="1012" w:type="dxa"/>
            <w:vAlign w:val="center"/>
          </w:tcPr>
          <w:p>
            <w:pPr>
              <w:pStyle w:val="31"/>
            </w:pPr>
            <w:r>
              <w:rPr>
                <w:rFonts w:hint="eastAsia"/>
              </w:rPr>
              <w:t>国家级</w:t>
            </w:r>
          </w:p>
        </w:tc>
        <w:tc>
          <w:tcPr>
            <w:tcW w:w="1870" w:type="dxa"/>
            <w:vAlign w:val="center"/>
          </w:tcPr>
          <w:p>
            <w:pPr>
              <w:pStyle w:val="31"/>
            </w:pPr>
            <w:r>
              <w:rPr>
                <w:rFonts w:hint="eastAsia"/>
              </w:rPr>
              <w:t>浦北县国家农业现代化示范区</w:t>
            </w:r>
          </w:p>
        </w:tc>
        <w:tc>
          <w:tcPr>
            <w:tcW w:w="1441" w:type="dxa"/>
            <w:vAlign w:val="center"/>
          </w:tcPr>
          <w:p>
            <w:pPr>
              <w:pStyle w:val="31"/>
              <w:jc w:val="center"/>
            </w:pPr>
            <w:r>
              <w:rPr>
                <w:rFonts w:hint="eastAsia"/>
              </w:rPr>
              <w:t>浦北黑猪、特色水果</w:t>
            </w:r>
          </w:p>
        </w:tc>
        <w:tc>
          <w:tcPr>
            <w:tcW w:w="1441" w:type="dxa"/>
            <w:vAlign w:val="center"/>
          </w:tcPr>
          <w:p>
            <w:pPr>
              <w:pStyle w:val="31"/>
            </w:pPr>
            <w:r>
              <w:rPr>
                <w:rFonts w:hint="eastAsia"/>
              </w:rPr>
              <w:t>现代生态循环农业引领区、产城融合发展先行区</w:t>
            </w:r>
          </w:p>
        </w:tc>
        <w:tc>
          <w:tcPr>
            <w:tcW w:w="6728" w:type="dxa"/>
            <w:vAlign w:val="center"/>
          </w:tcPr>
          <w:p>
            <w:pPr>
              <w:pStyle w:val="31"/>
            </w:pPr>
            <w:r>
              <w:rPr>
                <w:rFonts w:hint="eastAsia"/>
              </w:rPr>
              <w:t>重点依托白石水、北通、龙门三镇的现代农业示范区、城乡融合发展试验区、国家农村产业融合发展示范园、农产品加工产业园、田园综合体平台，</w:t>
            </w:r>
            <w:r>
              <w:t>围绕</w:t>
            </w:r>
            <w:r>
              <w:rPr>
                <w:rFonts w:hint="eastAsia"/>
              </w:rPr>
              <w:t>农业设施化、园区化、融合化、绿色化、数字化“五化”创建任务，统筹推进农业农村现代化建设，发展丘陵山区现代生态循环农业，促进农村产业融合与新型城镇化联动发展。</w:t>
            </w:r>
          </w:p>
        </w:tc>
        <w:tc>
          <w:tcPr>
            <w:tcW w:w="727" w:type="dxa"/>
            <w:vAlign w:val="center"/>
          </w:tcPr>
          <w:p>
            <w:pPr>
              <w:pStyle w:val="31"/>
            </w:pPr>
            <w:r>
              <w:rPr>
                <w:rFonts w:hint="eastAsia"/>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935" w:type="dxa"/>
            <w:gridSpan w:val="7"/>
            <w:vAlign w:val="center"/>
          </w:tcPr>
          <w:p>
            <w:pPr>
              <w:pStyle w:val="31"/>
              <w:spacing w:line="240" w:lineRule="auto"/>
              <w:jc w:val="center"/>
              <w:rPr>
                <w:b/>
              </w:rPr>
            </w:pPr>
            <w:r>
              <w:rPr>
                <w:rFonts w:hint="eastAsia"/>
                <w:b/>
              </w:rPr>
              <w:t>灵山县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73"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灵山百年荔枝核心示范区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荔枝</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种植养殖、加工营销、旅游观光</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一是由原四星级示范区升级成为五星级示范区。二是利用现有古荔枝资源，打造特色荔枝文化品牌。三是</w:t>
            </w:r>
            <w:r>
              <w:rPr>
                <w:color w:val="000000" w:themeColor="text1"/>
                <w14:textFill>
                  <w14:solidFill>
                    <w14:schemeClr w14:val="tx1"/>
                  </w14:solidFill>
                </w14:textFill>
              </w:rPr>
              <w:t>因地制宜，</w:t>
            </w:r>
            <w:r>
              <w:rPr>
                <w:rFonts w:hint="eastAsia"/>
                <w:color w:val="000000" w:themeColor="text1"/>
                <w14:textFill>
                  <w14:solidFill>
                    <w14:schemeClr w14:val="tx1"/>
                  </w14:solidFill>
                </w14:textFill>
              </w:rPr>
              <w:t>大力发展农业产业，体现农技推广程序。四是以荔枝产业发展为主，引进亚热带优质水果和特种养殖业，调整单一的产业结构，丰富现代农业发展内容。五是</w:t>
            </w:r>
            <w:r>
              <w:rPr>
                <w:rFonts w:hint="eastAsia" w:ascii="黑体" w:hAnsi="黑体" w:cs="宋体"/>
                <w:caps/>
                <w:color w:val="000000" w:themeColor="text1"/>
                <w14:textFill>
                  <w14:solidFill>
                    <w14:schemeClr w14:val="tx1"/>
                  </w14:solidFill>
                </w14:textFill>
              </w:rPr>
              <w:t>在</w:t>
            </w:r>
            <w:r>
              <w:rPr>
                <w:rFonts w:hint="eastAsia" w:ascii="宋体" w:hAnsi="宋体"/>
                <w:color w:val="000000" w:themeColor="text1"/>
                <w:szCs w:val="28"/>
                <w14:textFill>
                  <w14:solidFill>
                    <w14:schemeClr w14:val="tx1"/>
                  </w14:solidFill>
                </w14:textFill>
              </w:rPr>
              <w:t>灵山百年荔枝（核心）示范区范围内的村庄，</w:t>
            </w:r>
            <w:r>
              <w:rPr>
                <w:rFonts w:hint="eastAsia" w:ascii="黑体" w:hAnsi="黑体" w:cs="宋体"/>
                <w:caps/>
                <w:color w:val="000000" w:themeColor="text1"/>
                <w14:textFill>
                  <w14:solidFill>
                    <w14:schemeClr w14:val="tx1"/>
                  </w14:solidFill>
                </w14:textFill>
              </w:rPr>
              <w:t>按照标准建设生态乡村，打造清洁乡村活动“升级版”，营造“一个村屯一座绿岛”的生态美景、农民幸福家园。</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98"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灵山县生态香鸡养殖示范区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香鸡</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生产示范、科技推广、循环农业</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县级示范区升级成为四星级示范区。二是以养殖业为主导产业，加强示范区信息化建设，提升种养循环生产模式，打造现代养殖示范基地和现代化循环农业示范基地，深化延伸养殖、种植、加工产业链，促进形成服务业带动的“生产+加工+休闲旅游”三产联动体系，打造高效立体式循环农业示范样板。</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91"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4</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灵山三喜番石榴产业示范区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水果</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观光农业、自然景观、休闲娱乐</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县级示范区升级成为四星级示范区。二是紧跟市场需求，及时调整种植新的番石榴品种，并创立品牌，打响知名度，进一步拓宽销路；三是利用最新科技，发展番石榴加工产业，生产高端和特色加工产品，将番石榴产业打造成集种植、销售、加工于一身的“一条龙”产业，解决好销路不稳定的市场隐患；四是各种植户之间要团结一致、互惠互利、取长补短、整合资源、抱团发展，有大局意识，方能长长久久，做大做强，共同助力“一镇一业、一村一品”建设和乡村振兴发展。</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5"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5</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灵山县珍珠木菠萝种植示范区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种植</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高效种植、</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加工配销、</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科普培训、</w:t>
            </w:r>
          </w:p>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生态休闲</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建设果蔬标准化高效种植体系，包括标准化种植、产期调节、配方施肥与增施有机肥、果园机械化管理等内容。二是加强产后初加工水平，探索推进果蔬精深加工，丰富产品体系，打造成为标准化生产水平高的现代特色农业示范区。</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9"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6</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灵山县伯劳镇邓阳湖农业生态旅游示范区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休闲农业</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休闲旅游、</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养生体验、</w:t>
            </w:r>
          </w:p>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农旅融合</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深入挖掘当地文化内涵，积极塑造旅游主导产品和系列辅助产品，使旅游成为文化的载体、文化成为旅游的灵魂，满足旅游者的深层次精神文化需求。二是加强旅游与农业融合，具体表现为休闲农业、观光农业和体验农业等形式。</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8"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7</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灵山县果苗培育示范区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种植</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科技示范、</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绿色种植、</w:t>
            </w:r>
          </w:p>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休闲体验</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积极推进新品种研发、新技术应用、先进设备运用，拓展特色苗木市场流通、配套服务的特色农业现代化苗木产业链条，构成“生产、销售、服务于一体”的完整产业经营模式。</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0"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8</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广西华胥灵山县奶水牛养殖示范区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奶水牛养殖</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科技示范、</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绿色种养、</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休闲体验</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大力发展“以养带种、以种促养、种养联动”生态良性循环的养殖模式，推动奶水牛业向规模化、标准化、优质化和产业化发展。二是培育牛群规模，养殖效益，优化牛群结构，择优进行挤奶调教，着手培育高性能产奶个体，充分挖掘奶水牛的经济价值。三是除了满足公司本身奶水牛的需求外，还应该扩大奶水牛养殖规模，充分利用当地的特色资源和乡村振兴项目，发动周边村屯群众发展奶水牛养殖，将该项目打造成当地现代特色农业示范区。</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3"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9</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pPr>
            <w:r>
              <w:rPr>
                <w:rFonts w:hint="eastAsia"/>
              </w:rPr>
              <w:t>灵山县奶水牛产业示范区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奶水牛养殖</w:t>
            </w:r>
          </w:p>
        </w:tc>
        <w:tc>
          <w:tcPr>
            <w:tcW w:w="1441" w:type="dxa"/>
            <w:vAlign w:val="center"/>
          </w:tcPr>
          <w:p>
            <w:pPr>
              <w:pStyle w:val="31"/>
            </w:pPr>
            <w:r>
              <w:rPr>
                <w:rFonts w:hint="eastAsia"/>
              </w:rPr>
              <w:t>奶水牛繁育、标准化饲养、饲料生产加工</w:t>
            </w:r>
          </w:p>
        </w:tc>
        <w:tc>
          <w:tcPr>
            <w:tcW w:w="6728" w:type="dxa"/>
            <w:vAlign w:val="center"/>
          </w:tcPr>
          <w:p>
            <w:pPr>
              <w:pStyle w:val="31"/>
            </w:pPr>
            <w:r>
              <w:rPr>
                <w:rFonts w:hint="eastAsia"/>
              </w:rPr>
              <w:t>下一步示范区将积极创建自治区五星级示范区。一是主要建设“四区一中心”，即奶水牛现代生态养殖区、智慧牧场观光区、水果种植区、水牛奶加工物流区、园区综合管理中心。二是示范区将连片发展，结合周边村庄，通过“公司+合作社+农户”的运营模式，鼓励村民用好闲置地种草养牛，扩大示范区的种养规模。</w:t>
            </w:r>
          </w:p>
          <w:p>
            <w:pPr>
              <w:pStyle w:val="31"/>
            </w:pPr>
            <w:r>
              <w:t>三是</w:t>
            </w:r>
            <w:r>
              <w:rPr>
                <w:rFonts w:hint="eastAsia"/>
              </w:rPr>
              <w:t>重点建设现代生态养殖工程、科技支撑保障工程、全程可追溯系统、品牌建设工程、电子商务平台。通过养殖品种的良种化、养殖设施的标准化、养殖环境的生态化、养殖饲料的微生物化、养殖粪污的资源化和养殖投入品的无害化等“六化”建设，为示范区及周边地区发展奶水牛养殖提供健康牛源。</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1"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0</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pPr>
            <w:r>
              <w:rPr>
                <w:rFonts w:hint="eastAsia"/>
              </w:rPr>
              <w:t>灵山县玉兰花产业现代化示范区</w:t>
            </w:r>
          </w:p>
          <w:p>
            <w:pPr>
              <w:pStyle w:val="31"/>
              <w:rPr>
                <w:color w:val="000000" w:themeColor="text1"/>
                <w14:textFill>
                  <w14:solidFill>
                    <w14:schemeClr w14:val="tx1"/>
                  </w14:solidFill>
                </w14:textFill>
              </w:rPr>
            </w:pP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玉兰花</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科技示范、</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绿色种植、</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休闲体验</w:t>
            </w:r>
          </w:p>
        </w:tc>
        <w:tc>
          <w:tcPr>
            <w:tcW w:w="6728" w:type="dxa"/>
            <w:vAlign w:val="center"/>
          </w:tcPr>
          <w:p>
            <w:pPr>
              <w:pStyle w:val="31"/>
            </w:pPr>
            <w:r>
              <w:rPr>
                <w:rFonts w:hint="eastAsia"/>
              </w:rPr>
              <w:t>一是示范区扩面升级，继续推动“林改”，发展500亩连片化标准化种植，通过修建观景亭、入园步道、特色灯饰等景观设施，建设入村道路沿线14公里白玉兰景观带，加大乡村风貌建设力度等提升示范区整体品质品味；二是强化深加工，提升和改善玉兰花加工设备，加强与科研院所等的合作大力研发加工新品，如玉兰花驱蚊露、玉兰花红茶、玉兰花甜点（酒水）、玉兰花沐浴露等，提升产业附加值；三是加大品牌建设力度，把玉兰花产业打造成为知名度大、市场竞争力强、具有地方特色的芳香产业；四是拓宽鲜花销售渠道，在巩固“北上”线路（成都）的基础上，打通收购、运输渠道的堵点，开发拓展“南下”线路（广州），确保销售终端的车头发挥明显的带动作用；五是进一步探索“公司+合作社+基地+农户+科研”深度融合方案，完善紧密型农企研利益联结模式，撮合多主体合作抱团，促进良性生产要素融合集聚，推广代管代摘的种采分离模式，催化玉兰产业发展新动能，努力朝着强龙头、补链条、聚集群、壮规模、见效益的目标奋进，让特色产业出花、出彩。</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935" w:type="dxa"/>
            <w:gridSpan w:val="7"/>
            <w:vAlign w:val="center"/>
          </w:tcPr>
          <w:p>
            <w:pPr>
              <w:pStyle w:val="31"/>
              <w:spacing w:line="240" w:lineRule="auto"/>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浦北县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45"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浦北佳荔特色水果示范区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荔枝</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高效种植、科普培训、生态休闲</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原四星级示范区升级成为五星级示范区。二是力推动浦北荔枝种植、加工先进适用技术引进和集成配套应用，鼓励发展农资、农技、流通等社会化服务，大力发展产品加工和新型贸易方式，推进优势产业向产加销、农工商一体化发展，建成国内先进的高效农业产业展示区，打造成为国内知名、地区特色鲜明的农业产业集群。</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49"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越州天湖休闲农业示范区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休闲农业</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生产示范、</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科技推广、</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教育培训、</w:t>
            </w:r>
          </w:p>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农旅融合</w:t>
            </w:r>
          </w:p>
        </w:tc>
        <w:tc>
          <w:tcPr>
            <w:tcW w:w="6728"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一是由原三星级示范区升级成为四星级示范区。二是完善提升越州天湖旅游区配套功能设施建设，打造成为集休闲观光、旅游住宿、科普研学、亲子教育、文化体验于一体的现代化休闲农业示范区。</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3"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jc w:val="both"/>
              <w:rPr>
                <w:color w:val="000000" w:themeColor="text1"/>
                <w14:textFill>
                  <w14:solidFill>
                    <w14:schemeClr w14:val="tx1"/>
                  </w14:solidFill>
                </w14:textFill>
              </w:rPr>
            </w:pPr>
            <w:r>
              <w:rPr>
                <w:rFonts w:hint="eastAsia"/>
              </w:rPr>
              <w:t>浦北县五皇山石祖林中茶示范区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茶叶</w:t>
            </w:r>
          </w:p>
        </w:tc>
        <w:tc>
          <w:tcPr>
            <w:tcW w:w="1441" w:type="dxa"/>
            <w:vAlign w:val="center"/>
          </w:tcPr>
          <w:p>
            <w:pPr>
              <w:pStyle w:val="31"/>
              <w:jc w:val="both"/>
              <w:rPr>
                <w:color w:val="000000" w:themeColor="text1"/>
                <w14:textFill>
                  <w14:solidFill>
                    <w14:schemeClr w14:val="tx1"/>
                  </w14:solidFill>
                </w14:textFill>
              </w:rPr>
            </w:pPr>
            <w:r>
              <w:rPr>
                <w:color w:val="000000" w:themeColor="text1"/>
                <w14:textFill>
                  <w14:solidFill>
                    <w14:schemeClr w14:val="tx1"/>
                  </w14:solidFill>
                </w14:textFill>
              </w:rPr>
              <w:t>绿</w:t>
            </w:r>
            <w:r>
              <w:rPr>
                <w:rFonts w:hint="eastAsia"/>
                <w:color w:val="000000" w:themeColor="text1"/>
                <w14:textFill>
                  <w14:solidFill>
                    <w14:schemeClr w14:val="tx1"/>
                  </w14:solidFill>
                </w14:textFill>
              </w:rPr>
              <w:t>色生产、辐射带动、旅游休闲</w:t>
            </w:r>
          </w:p>
        </w:tc>
        <w:tc>
          <w:tcPr>
            <w:tcW w:w="6728" w:type="dxa"/>
            <w:vAlign w:val="center"/>
          </w:tcPr>
          <w:p>
            <w:pPr>
              <w:pStyle w:val="31"/>
            </w:pPr>
            <w:r>
              <w:rPr>
                <w:rFonts w:hint="eastAsia"/>
              </w:rPr>
              <w:t>一是争取创建成为自治区五星级示范区。二是加大浦北富硒茶种植规模，强化加工能力，推动富硒茶产业化发展。大力发展生态茶园，完善休闲农业配套设施建设，加强富硒茶品牌推广，打造品牌特色鲜明的知名茶产品。</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9"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4</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pPr>
            <w:r>
              <w:rPr>
                <w:rFonts w:hint="eastAsia"/>
              </w:rPr>
              <w:t>浦北县越州黑猪产业示范区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浦北黑猪</w:t>
            </w:r>
          </w:p>
        </w:tc>
        <w:tc>
          <w:tcPr>
            <w:tcW w:w="1441" w:type="dxa"/>
            <w:vAlign w:val="center"/>
          </w:tcPr>
          <w:p>
            <w:pPr>
              <w:pStyle w:val="31"/>
            </w:pPr>
            <w:r>
              <w:rPr>
                <w:rFonts w:hint="eastAsia"/>
              </w:rPr>
              <w:t>现代生态养殖、富硒猪肉加工销售</w:t>
            </w:r>
          </w:p>
        </w:tc>
        <w:tc>
          <w:tcPr>
            <w:tcW w:w="6728" w:type="dxa"/>
            <w:vAlign w:val="center"/>
          </w:tcPr>
          <w:p>
            <w:pPr>
              <w:pStyle w:val="31"/>
            </w:pPr>
            <w:r>
              <w:rPr>
                <w:rFonts w:hint="eastAsia"/>
              </w:rPr>
              <w:t>发展方向是推广应用数字化养殖技术、建立良种繁育基地、现代化种养循环农业示范基地、富硒猪肉加工销售基地，延伸产业链，打造现代高效循环种养农业示范区。</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2"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5</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pPr>
            <w:r>
              <w:rPr>
                <w:rFonts w:hint="eastAsia"/>
              </w:rPr>
              <w:t>浦北县龙门陈皮柑特色农业示范区</w:t>
            </w:r>
          </w:p>
          <w:p>
            <w:pPr>
              <w:pStyle w:val="31"/>
              <w:jc w:val="both"/>
              <w:rPr>
                <w:color w:val="000000" w:themeColor="text1"/>
                <w14:textFill>
                  <w14:solidFill>
                    <w14:schemeClr w14:val="tx1"/>
                  </w14:solidFill>
                </w14:textFill>
              </w:rPr>
            </w:pPr>
          </w:p>
        </w:tc>
        <w:tc>
          <w:tcPr>
            <w:tcW w:w="1441" w:type="dxa"/>
            <w:vAlign w:val="center"/>
          </w:tcPr>
          <w:p>
            <w:pPr>
              <w:pStyle w:val="31"/>
              <w:jc w:val="center"/>
              <w:rPr>
                <w:color w:val="000000" w:themeColor="text1"/>
                <w14:textFill>
                  <w14:solidFill>
                    <w14:schemeClr w14:val="tx1"/>
                  </w14:solidFill>
                </w14:textFill>
              </w:rPr>
            </w:pPr>
            <w:r>
              <w:rPr>
                <w:rFonts w:hint="eastAsia"/>
              </w:rPr>
              <w:t>柑橘（陈皮柑、小青柑）</w:t>
            </w:r>
          </w:p>
        </w:tc>
        <w:tc>
          <w:tcPr>
            <w:tcW w:w="1441" w:type="dxa"/>
            <w:vAlign w:val="center"/>
          </w:tcPr>
          <w:p>
            <w:pPr>
              <w:pStyle w:val="31"/>
              <w:jc w:val="both"/>
              <w:rPr>
                <w:color w:val="000000" w:themeColor="text1"/>
                <w14:textFill>
                  <w14:solidFill>
                    <w14:schemeClr w14:val="tx1"/>
                  </w14:solidFill>
                </w14:textFill>
              </w:rPr>
            </w:pPr>
            <w:r>
              <w:rPr>
                <w:rFonts w:hint="eastAsia"/>
              </w:rPr>
              <w:t>陈皮柑全产业链开发、高效种植、加工配销、</w:t>
            </w:r>
          </w:p>
        </w:tc>
        <w:tc>
          <w:tcPr>
            <w:tcW w:w="6728" w:type="dxa"/>
            <w:vAlign w:val="center"/>
          </w:tcPr>
          <w:p>
            <w:pPr>
              <w:pStyle w:val="31"/>
            </w:pPr>
            <w:r>
              <w:rPr>
                <w:rFonts w:hint="eastAsia"/>
              </w:rPr>
              <w:t>发展方向是建立陈皮柑标准化种植示范基地、陈皮加工基地、柑普茶加工基地，把浦北县打造成为两广地区陈皮、柑普茶集散地。</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59" w:hRule="atLeast"/>
          <w:jc w:val="center"/>
        </w:trPr>
        <w:tc>
          <w:tcPr>
            <w:tcW w:w="716"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6</w:t>
            </w:r>
          </w:p>
        </w:tc>
        <w:tc>
          <w:tcPr>
            <w:tcW w:w="1012" w:type="dxa"/>
            <w:vAlign w:val="center"/>
          </w:tcPr>
          <w:p>
            <w:pPr>
              <w:pStyle w:val="31"/>
            </w:pPr>
            <w:r>
              <w:rPr>
                <w:rFonts w:hint="eastAsia"/>
              </w:rPr>
              <w:t>自治区级（四星）</w:t>
            </w:r>
          </w:p>
        </w:tc>
        <w:tc>
          <w:tcPr>
            <w:tcW w:w="1870" w:type="dxa"/>
            <w:vAlign w:val="center"/>
          </w:tcPr>
          <w:p>
            <w:pPr>
              <w:pStyle w:val="31"/>
            </w:pPr>
            <w:r>
              <w:rPr>
                <w:rFonts w:hint="eastAsia"/>
              </w:rPr>
              <w:t>浦北县越州寿仙湖生态康养农业示范区</w:t>
            </w:r>
          </w:p>
        </w:tc>
        <w:tc>
          <w:tcPr>
            <w:tcW w:w="1441" w:type="dxa"/>
            <w:vAlign w:val="center"/>
          </w:tcPr>
          <w:p>
            <w:pPr>
              <w:pStyle w:val="31"/>
              <w:jc w:val="center"/>
            </w:pPr>
            <w:r>
              <w:rPr>
                <w:rFonts w:hint="eastAsia"/>
              </w:rPr>
              <w:t>休闲农业</w:t>
            </w:r>
          </w:p>
        </w:tc>
        <w:tc>
          <w:tcPr>
            <w:tcW w:w="1441" w:type="dxa"/>
            <w:vAlign w:val="center"/>
          </w:tcPr>
          <w:p>
            <w:pPr>
              <w:pStyle w:val="31"/>
            </w:pPr>
            <w:r>
              <w:rPr>
                <w:rFonts w:hint="eastAsia"/>
              </w:rPr>
              <w:t>新品种示范推广、富硒农业体验、农旅融合。</w:t>
            </w:r>
          </w:p>
        </w:tc>
        <w:tc>
          <w:tcPr>
            <w:tcW w:w="6728" w:type="dxa"/>
            <w:vAlign w:val="center"/>
          </w:tcPr>
          <w:p>
            <w:pPr>
              <w:pStyle w:val="31"/>
            </w:pPr>
            <w:r>
              <w:rPr>
                <w:rFonts w:hint="eastAsia"/>
              </w:rPr>
              <w:t>通过完善提升越州寿仙湖旅游配套设施，建设集休闲观光、旅游住宿、新品种推广、科普研学、亲子教育、文化体验于一体的现代化休闲农业示范区。</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935" w:type="dxa"/>
            <w:gridSpan w:val="7"/>
            <w:vAlign w:val="center"/>
          </w:tcPr>
          <w:p>
            <w:pPr>
              <w:pStyle w:val="31"/>
              <w:spacing w:line="240" w:lineRule="auto"/>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钦南区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0"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17</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钦州市钦南区龙门蚝湾大蚝产业示范区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大蚝</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现代渔业、带农增收、休闲渔业</w:t>
            </w:r>
          </w:p>
        </w:tc>
        <w:tc>
          <w:tcPr>
            <w:tcW w:w="6728"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原三星级示范区升级成为四星级示范区。二是推广抗风浪浮筏养鱼、标准化养殖“钦州大蚝”等现代化及生态水产养殖模式，降低水产养殖风险，增加产量，建设成为标准化生产水平高的现代特色农业示范区。</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99"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18</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钦州市钦南区北部湾花卉小镇森林生态文化旅游示范区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林业</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森林康养、科普体验、休闲旅游</w:t>
            </w:r>
          </w:p>
        </w:tc>
        <w:tc>
          <w:tcPr>
            <w:tcW w:w="6728"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一是由原三星级示范区升级成为四星级示范区。二是积极推进新品种研发、新技术应用、先进设备运用，拓展特色花卉苗木市场流通、配套服务的现代化特色花卉苗木产业链条，构成“生产、销售、服务于一体”的完整产业经营模式，通过提升完善休闲观光、乡村旅游项目扩大示范区知名度，带动示范区种植产业相关链条循环发展。</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8"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19</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钦州市钦南区菠萝蜜产业示范区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菠萝蜜</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生态绿色种植、加工、销售、自然景观、休闲观光</w:t>
            </w:r>
          </w:p>
        </w:tc>
        <w:tc>
          <w:tcPr>
            <w:tcW w:w="6728" w:type="dxa"/>
            <w:vAlign w:val="center"/>
          </w:tcPr>
          <w:p>
            <w:pPr>
              <w:pStyle w:val="31"/>
            </w:pPr>
            <w:r>
              <w:rPr>
                <w:rFonts w:hint="eastAsia"/>
              </w:rPr>
              <w:t>一是由县级示范区升级成为四星级示范区。二是打造知名品牌，提高果品商业化水平；创建标准化种植园，推动菠萝蜜产业升级，提升菠萝蜜产业效益；品种登记，绿色食品、有机食品申报与认证，建立并不断完善产品质量追溯系统，不断提高果品质量安全水平，因地制宜，社会效益、经济效益、生态效益并重，生产绿色、有机菠萝蜜，打造成为广西及至全国最大的菠萝蜜生产基地，国家级菠萝蜜品种资源收集展示中心和全国区域性的菠萝蜜集散加工中心。</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1"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20</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钦州市钦南区那雾山森林生态文化旅游示范区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林业</w:t>
            </w:r>
          </w:p>
        </w:tc>
        <w:tc>
          <w:tcPr>
            <w:tcW w:w="1441" w:type="dxa"/>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生态教育、现代林业推广、森林生态养生、田园养生</w:t>
            </w:r>
          </w:p>
        </w:tc>
        <w:tc>
          <w:tcPr>
            <w:tcW w:w="6728"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一是争取创建成为四星级示范区。二是围绕示范区林业特点、地域特点和资源特点，形成以森林生态文化旅游为品牌，围绕森林生态文化旅游产业要素和相关产业的横向融合，创新“森林联合旅游保育、生态围绕旅游提升、文化联姻森林做大、乡村结合生态做靓、信息改变旅游方式、商贸融合产品延伸”的产业融合模式。</w:t>
            </w:r>
          </w:p>
        </w:tc>
        <w:tc>
          <w:tcPr>
            <w:tcW w:w="727"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3935" w:type="dxa"/>
            <w:gridSpan w:val="7"/>
            <w:vAlign w:val="center"/>
          </w:tcPr>
          <w:p>
            <w:pPr>
              <w:pStyle w:val="31"/>
              <w:spacing w:line="240" w:lineRule="auto"/>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钦北区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4"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21</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自治区级（五星）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钦北区九佰垌现代特色农业示范区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种植</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农业公园、乡村旅游、科普教育</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四星级示范区升级成为五星级示范区。二是完善的果蔬标准化高效种植体系，包括标准化种植、产期调节、水肥一体化高效灌溉、病虫害绿色防控体系、配方施肥与增施有机肥、果园机械化管理等内容。三是加强产后初加工水平，探索推进果蔬精深加工，丰富产品体系，打造成为标准化生产水平高的现代特色农业示范区。</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9"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22</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钦北区九联肉鸡产业核心示范区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禽畜业</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养殖示范、农产品加工、循环农业</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三星级示范区升级成为四星级示范区。二是示范区形成种鸡场、孵化场、养殖场、饲料生产，肉鸡加工、销售、科研、科普教育一条龙全产业链。三是建设有肉鸡善宰加工厂，每日加工肉鸡5万羽，进行分类、包装、冷藏等的初加工处理，初级加工率达100%。饲料生产和肉鸡加工位于钦北区经济技术开发区食品加工产业园，加工厂实行现代化、标准化、自动化生产。四是加快建设熟食加工厂。</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3"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23</w:t>
            </w:r>
          </w:p>
        </w:tc>
        <w:tc>
          <w:tcPr>
            <w:tcW w:w="1012"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钦北区娥眉湾现代休闲农业示范区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休闲农业</w:t>
            </w:r>
          </w:p>
        </w:tc>
        <w:tc>
          <w:tcPr>
            <w:tcW w:w="1441"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生态旅游、休闲养生、农事体验、生态教育、观光摄影</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由三星级示范区升级成为四星级示范区。二是持续推进标准化种植，加强农产品产后初加工水平，提升农产品仓储流通能力，完善提升翠湖田园休闲农业示范区配套功能设施建设，打造成为集休闲观光、旅游住宿、科普研学、亲子教育、文化体验于一体的现代化休闲农业示范区。</w:t>
            </w:r>
          </w:p>
        </w:tc>
        <w:tc>
          <w:tcPr>
            <w:tcW w:w="727"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升级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14" w:hRule="atLeast"/>
          <w:jc w:val="center"/>
        </w:trPr>
        <w:tc>
          <w:tcPr>
            <w:tcW w:w="716" w:type="dxa"/>
            <w:vAlign w:val="center"/>
          </w:tcPr>
          <w:p>
            <w:pPr>
              <w:pStyle w:val="31"/>
              <w:jc w:val="center"/>
            </w:pPr>
            <w:r>
              <w:t>24</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钦北区金陵生猪产业示范区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畜牧业</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养殖示范、种猪肉猪养殖、循环农业</w:t>
            </w:r>
          </w:p>
        </w:tc>
        <w:tc>
          <w:tcPr>
            <w:tcW w:w="6728"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一是争取创建成为四星级示范区。二是目标用三年时间，把园区建设成为优质健康肉猪规模化、标准化养殖生产示范基地，生猪活体储备基地，绿色畜禽产品生产基地。三是加强防疫推广体系建设，减少疫情对养猪行业冲击带来的影响，建立配套完善的畜禽良种繁育体系，培育、推广、利用畜禽优良品种，提高良种化程度，促进畜牧业向高产、优质、高效转变及持续稳定发展，提高畜禽生产性能及综合经济效益，增强畜牧产品市场竞争力。</w:t>
            </w:r>
          </w:p>
        </w:tc>
        <w:tc>
          <w:tcPr>
            <w:tcW w:w="727" w:type="dxa"/>
            <w:vAlign w:val="center"/>
          </w:tcPr>
          <w:p>
            <w:pPr>
              <w:pStyle w:val="31"/>
              <w:jc w:val="both"/>
            </w:pPr>
            <w:r>
              <w:rPr>
                <w:rFonts w:hint="eastAsia"/>
              </w:rPr>
              <w:t>创建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82" w:hRule="atLeast"/>
          <w:jc w:val="center"/>
        </w:trPr>
        <w:tc>
          <w:tcPr>
            <w:tcW w:w="716" w:type="dxa"/>
            <w:vAlign w:val="center"/>
          </w:tcPr>
          <w:p>
            <w:pPr>
              <w:pStyle w:val="31"/>
              <w:jc w:val="center"/>
              <w:rPr>
                <w:color w:val="000000" w:themeColor="text1"/>
                <w14:textFill>
                  <w14:solidFill>
                    <w14:schemeClr w14:val="tx1"/>
                  </w14:solidFill>
                </w14:textFill>
              </w:rPr>
            </w:pPr>
            <w:r>
              <w:rPr>
                <w:color w:val="000000" w:themeColor="text1"/>
                <w14:textFill>
                  <w14:solidFill>
                    <w14:schemeClr w14:val="tx1"/>
                  </w14:solidFill>
                </w14:textFill>
              </w:rPr>
              <w:t>25</w:t>
            </w:r>
          </w:p>
        </w:tc>
        <w:tc>
          <w:tcPr>
            <w:tcW w:w="1012"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自治区级（四星）</w:t>
            </w:r>
          </w:p>
        </w:tc>
        <w:tc>
          <w:tcPr>
            <w:tcW w:w="1870"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钦北区天鹅湖休闲农业示范区</w:t>
            </w:r>
          </w:p>
        </w:tc>
        <w:tc>
          <w:tcPr>
            <w:tcW w:w="1441" w:type="dxa"/>
            <w:vAlign w:val="center"/>
          </w:tcPr>
          <w:p>
            <w:pPr>
              <w:pStyle w:val="3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休闲农业</w:t>
            </w:r>
          </w:p>
        </w:tc>
        <w:tc>
          <w:tcPr>
            <w:tcW w:w="1441" w:type="dxa"/>
            <w:vAlign w:val="center"/>
          </w:tcPr>
          <w:p>
            <w:pPr>
              <w:pStyle w:val="31"/>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生态旅游、休闲养生、农事体验、生态教育、观光摄影</w:t>
            </w:r>
          </w:p>
        </w:tc>
        <w:tc>
          <w:tcPr>
            <w:tcW w:w="6728" w:type="dxa"/>
            <w:vAlign w:val="center"/>
          </w:tcPr>
          <w:p>
            <w:pPr>
              <w:pStyle w:val="31"/>
              <w:rPr>
                <w:color w:val="000000" w:themeColor="text1"/>
                <w14:textFill>
                  <w14:solidFill>
                    <w14:schemeClr w14:val="tx1"/>
                  </w14:solidFill>
                </w14:textFill>
              </w:rPr>
            </w:pPr>
            <w:r>
              <w:rPr>
                <w:rFonts w:hint="eastAsia"/>
                <w:color w:val="000000" w:themeColor="text1"/>
                <w14:textFill>
                  <w14:solidFill>
                    <w14:schemeClr w14:val="tx1"/>
                  </w14:solidFill>
                </w14:textFill>
              </w:rPr>
              <w:t>一是争取创建成为四星级示范区。二是持续推进标准化种植，加强农产品产后初加工水平，提升农产品仓储流通能力，完善提升示范区配套功能设施建设，打造成为集休闲观光、旅游住宿、科普研学、亲子教育、文化体验于一体的现代化休闲农业示范区。</w:t>
            </w:r>
          </w:p>
        </w:tc>
        <w:tc>
          <w:tcPr>
            <w:tcW w:w="727" w:type="dxa"/>
            <w:vAlign w:val="center"/>
          </w:tcPr>
          <w:p>
            <w:pPr>
              <w:pStyle w:val="31"/>
              <w:jc w:val="both"/>
            </w:pPr>
            <w:r>
              <w:rPr>
                <w:rFonts w:hint="eastAsia"/>
              </w:rPr>
              <w:t>创建</w:t>
            </w:r>
          </w:p>
        </w:tc>
      </w:tr>
    </w:tbl>
    <w:p>
      <w:pPr>
        <w:ind w:firstLine="0" w:firstLineChars="0"/>
        <w:sectPr>
          <w:pgSz w:w="16838" w:h="11906" w:orient="landscape"/>
          <w:pgMar w:top="1474" w:right="1701" w:bottom="1418" w:left="1418" w:header="851" w:footer="992" w:gutter="0"/>
          <w:pgNumType w:fmt="numberInDash"/>
          <w:cols w:space="0" w:num="1"/>
          <w:docGrid w:type="lines" w:linePitch="584" w:charSpace="-849"/>
        </w:sectPr>
      </w:pPr>
    </w:p>
    <w:p>
      <w:pPr>
        <w:pStyle w:val="3"/>
        <w:spacing w:after="584"/>
        <w:jc w:val="left"/>
      </w:pPr>
      <w:bookmarkStart w:id="42" w:name="_Toc119667517"/>
      <w:r>
        <w:rPr>
          <w:rFonts w:hint="eastAsia"/>
        </w:rPr>
        <w:t>附图</w:t>
      </w:r>
      <w:bookmarkEnd w:id="42"/>
    </w:p>
    <w:p>
      <w:pPr>
        <w:ind w:firstLine="640"/>
      </w:pPr>
      <w:r>
        <w:rPr>
          <w:rFonts w:hint="eastAsia"/>
        </w:rPr>
        <w:t>示范区现状分布图、示范区空间布局图、示范区规划布局图</w:t>
      </w:r>
    </w:p>
    <w:p>
      <w:pPr>
        <w:pStyle w:val="2"/>
        <w:ind w:firstLine="643"/>
      </w:pPr>
    </w:p>
    <w:p>
      <w:pPr>
        <w:ind w:firstLine="640"/>
      </w:pPr>
    </w:p>
    <w:p>
      <w:pPr>
        <w:pStyle w:val="2"/>
        <w:ind w:firstLine="643"/>
      </w:pPr>
    </w:p>
    <w:p>
      <w:pPr>
        <w:ind w:firstLine="640"/>
      </w:pPr>
    </w:p>
    <w:p>
      <w:pPr>
        <w:pStyle w:val="2"/>
        <w:ind w:firstLine="643"/>
      </w:pPr>
    </w:p>
    <w:p>
      <w:pPr>
        <w:ind w:firstLine="640"/>
      </w:pPr>
    </w:p>
    <w:p>
      <w:pPr>
        <w:pStyle w:val="2"/>
        <w:ind w:firstLine="643"/>
      </w:pPr>
    </w:p>
    <w:p>
      <w:pPr>
        <w:ind w:firstLine="640"/>
      </w:pPr>
    </w:p>
    <w:p>
      <w:pPr>
        <w:pStyle w:val="2"/>
        <w:ind w:firstLine="643"/>
      </w:pPr>
    </w:p>
    <w:p>
      <w:pPr>
        <w:ind w:firstLine="640"/>
      </w:pPr>
    </w:p>
    <w:p>
      <w:pPr>
        <w:pStyle w:val="2"/>
        <w:ind w:firstLine="643"/>
      </w:pPr>
    </w:p>
    <w:p>
      <w:pPr>
        <w:ind w:firstLine="640"/>
      </w:pPr>
    </w:p>
    <w:p>
      <w:pPr>
        <w:pStyle w:val="4"/>
        <w:spacing w:after="292" w:afterLines="50" w:line="240" w:lineRule="auto"/>
        <w:rPr>
          <w:rFonts w:ascii="仿宋" w:hAnsi="仿宋" w:eastAsia="仿宋"/>
        </w:rPr>
      </w:pPr>
      <w:bookmarkStart w:id="43" w:name="_Toc119667518"/>
      <w:r>
        <w:rPr>
          <w:rFonts w:hint="eastAsia" w:ascii="仿宋" w:hAnsi="仿宋" w:eastAsia="仿宋"/>
        </w:rPr>
        <w:t>示范区现状分布图</w:t>
      </w:r>
      <w:bookmarkEnd w:id="43"/>
    </w:p>
    <w:p>
      <w:pPr>
        <w:pStyle w:val="42"/>
        <w:spacing w:line="360" w:lineRule="auto"/>
      </w:pPr>
      <w:r>
        <w:rPr>
          <w:rFonts w:hint="eastAsia"/>
        </w:rPr>
        <w:drawing>
          <wp:anchor distT="0" distB="0" distL="114300" distR="114300" simplePos="0" relativeHeight="251659264" behindDoc="0" locked="0" layoutInCell="1" allowOverlap="1">
            <wp:simplePos x="0" y="0"/>
            <wp:positionH relativeFrom="margin">
              <wp:posOffset>963930</wp:posOffset>
            </wp:positionH>
            <wp:positionV relativeFrom="margin">
              <wp:posOffset>584200</wp:posOffset>
            </wp:positionV>
            <wp:extent cx="7134860" cy="5038725"/>
            <wp:effectExtent l="0" t="0" r="8890" b="952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7134860" cy="5038725"/>
                    </a:xfrm>
                    <a:prstGeom prst="rect">
                      <a:avLst/>
                    </a:prstGeom>
                  </pic:spPr>
                </pic:pic>
              </a:graphicData>
            </a:graphic>
          </wp:anchor>
        </w:drawing>
      </w: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
        <w:spacing w:after="292" w:afterLines="50" w:line="240" w:lineRule="auto"/>
        <w:rPr>
          <w:rFonts w:ascii="仿宋" w:hAnsi="仿宋" w:eastAsia="仿宋"/>
        </w:rPr>
      </w:pPr>
      <w:bookmarkStart w:id="44" w:name="_Toc119667519"/>
      <w:r>
        <w:rPr>
          <w:rFonts w:hint="eastAsia" w:ascii="仿宋" w:hAnsi="仿宋" w:eastAsia="仿宋"/>
        </w:rPr>
        <w:t>示范区空间布局图</w:t>
      </w:r>
      <w:bookmarkEnd w:id="44"/>
    </w:p>
    <w:p>
      <w:pPr>
        <w:pStyle w:val="42"/>
        <w:spacing w:line="360" w:lineRule="auto"/>
      </w:pPr>
      <w:r>
        <w:rPr>
          <w:rFonts w:hint="eastAsia"/>
        </w:rPr>
        <w:drawing>
          <wp:anchor distT="0" distB="0" distL="114300" distR="114300" simplePos="0" relativeHeight="251663360" behindDoc="0" locked="0" layoutInCell="1" allowOverlap="1">
            <wp:simplePos x="0" y="0"/>
            <wp:positionH relativeFrom="margin">
              <wp:posOffset>973455</wp:posOffset>
            </wp:positionH>
            <wp:positionV relativeFrom="margin">
              <wp:posOffset>650240</wp:posOffset>
            </wp:positionV>
            <wp:extent cx="7127875" cy="5039995"/>
            <wp:effectExtent l="0" t="0" r="0" b="825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128000" cy="5040000"/>
                    </a:xfrm>
                    <a:prstGeom prst="rect">
                      <a:avLst/>
                    </a:prstGeom>
                  </pic:spPr>
                </pic:pic>
              </a:graphicData>
            </a:graphic>
          </wp:anchor>
        </w:drawing>
      </w: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2"/>
        <w:spacing w:line="360" w:lineRule="auto"/>
      </w:pPr>
    </w:p>
    <w:p>
      <w:pPr>
        <w:pStyle w:val="4"/>
        <w:spacing w:after="292" w:afterLines="50" w:line="240" w:lineRule="auto"/>
        <w:rPr>
          <w:rFonts w:ascii="仿宋" w:hAnsi="仿宋" w:eastAsia="仿宋"/>
        </w:rPr>
      </w:pPr>
      <w:bookmarkStart w:id="45" w:name="_Toc119667520"/>
      <w:r>
        <w:rPr>
          <w:rFonts w:ascii="仿宋" w:hAnsi="仿宋" w:eastAsia="仿宋"/>
        </w:rPr>
        <w:drawing>
          <wp:anchor distT="0" distB="0" distL="114300" distR="114300" simplePos="0" relativeHeight="251653120" behindDoc="0" locked="0" layoutInCell="1" allowOverlap="1">
            <wp:simplePos x="0" y="0"/>
            <wp:positionH relativeFrom="margin">
              <wp:posOffset>963930</wp:posOffset>
            </wp:positionH>
            <wp:positionV relativeFrom="margin">
              <wp:posOffset>647065</wp:posOffset>
            </wp:positionV>
            <wp:extent cx="7134860" cy="5032375"/>
            <wp:effectExtent l="0" t="0" r="889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7134860" cy="5032375"/>
                    </a:xfrm>
                    <a:prstGeom prst="rect">
                      <a:avLst/>
                    </a:prstGeom>
                  </pic:spPr>
                </pic:pic>
              </a:graphicData>
            </a:graphic>
          </wp:anchor>
        </w:drawing>
      </w:r>
      <w:r>
        <w:rPr>
          <w:rFonts w:hint="eastAsia" w:ascii="仿宋" w:hAnsi="仿宋" w:eastAsia="仿宋"/>
        </w:rPr>
        <w:t>示范区规划布局图</w:t>
      </w:r>
      <w:bookmarkEnd w:id="45"/>
    </w:p>
    <w:sectPr>
      <w:pgSz w:w="16838" w:h="11906" w:orient="landscape"/>
      <w:pgMar w:top="1474" w:right="1701" w:bottom="1418" w:left="1418" w:header="851" w:footer="992" w:gutter="0"/>
      <w:pgNumType w:fmt="numberInDash"/>
      <w:cols w:space="0" w:num="1"/>
      <w:docGrid w:type="lines" w:linePitch="584"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85359414"/>
      <w:docPartObj>
        <w:docPartGallery w:val="autotext"/>
      </w:docPartObj>
    </w:sdtPr>
    <w:sdtContent>
      <w:p>
        <w:pPr>
          <w:pStyle w:val="14"/>
          <w:ind w:firstLine="560"/>
          <w:jc w:val="center"/>
        </w:pPr>
        <w:r>
          <w:fldChar w:fldCharType="begin"/>
        </w:r>
        <w:r>
          <w:instrText xml:space="preserve">PAGE   \* MERGEFORMAT</w:instrText>
        </w:r>
        <w:r>
          <w:fldChar w:fldCharType="separate"/>
        </w:r>
        <w:r>
          <w:rPr>
            <w:lang w:val="zh-CN"/>
          </w:rPr>
          <w:t>-</w:t>
        </w:r>
        <w:r>
          <w:t xml:space="preserve"> 8 -</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5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47291127"/>
      <w:docPartObj>
        <w:docPartGallery w:val="autotext"/>
      </w:docPartObj>
    </w:sdtPr>
    <w:sdtContent>
      <w:p>
        <w:pPr>
          <w:pStyle w:val="14"/>
          <w:ind w:firstLine="560"/>
          <w:jc w:val="center"/>
        </w:pPr>
        <w:r>
          <w:fldChar w:fldCharType="begin"/>
        </w:r>
        <w:r>
          <w:instrText xml:space="preserve">PAGE   \* MERGEFORMAT</w:instrText>
        </w:r>
        <w:r>
          <w:fldChar w:fldCharType="separate"/>
        </w:r>
        <w:r>
          <w:t>- 6 -</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53102323"/>
      <w:docPartObj>
        <w:docPartGallery w:val="autotext"/>
      </w:docPartObj>
    </w:sdtPr>
    <w:sdtContent>
      <w:p>
        <w:pPr>
          <w:pStyle w:val="14"/>
          <w:ind w:firstLine="560"/>
          <w:jc w:val="center"/>
        </w:pPr>
        <w:r>
          <w:fldChar w:fldCharType="begin"/>
        </w:r>
        <w:r>
          <w:instrText xml:space="preserve">PAGE   \* MERGEFORMAT</w:instrText>
        </w:r>
        <w:r>
          <w:fldChar w:fldCharType="separate"/>
        </w:r>
        <w:r>
          <w:rPr>
            <w:lang w:val="zh-CN"/>
          </w:rPr>
          <w:t>-</w:t>
        </w:r>
        <w:r>
          <w:t xml:space="preserve"> 18 -</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92478644"/>
      <w:docPartObj>
        <w:docPartGallery w:val="autotext"/>
      </w:docPartObj>
    </w:sdtPr>
    <w:sdtContent>
      <w:p>
        <w:pPr>
          <w:pStyle w:val="14"/>
          <w:ind w:firstLine="560"/>
        </w:pPr>
        <w:r>
          <w:fldChar w:fldCharType="begin"/>
        </w:r>
        <w:r>
          <w:instrText xml:space="preserve">PAGE   \* MERGEFORMAT</w:instrText>
        </w:r>
        <w:r>
          <w:fldChar w:fldCharType="separate"/>
        </w:r>
        <w:r>
          <w:rPr>
            <w:lang w:val="zh-CN"/>
          </w:rPr>
          <w:t>-</w:t>
        </w:r>
        <w:r>
          <w:t xml:space="preserve"> 18 -</w:t>
        </w:r>
        <w:r>
          <w:fldChar w:fldCharType="end"/>
        </w:r>
      </w:p>
    </w:sdtContent>
  </w:sdt>
  <w:p>
    <w:pPr>
      <w:pStyle w:val="14"/>
      <w:ind w:firstLine="5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25988168"/>
      <w:docPartObj>
        <w:docPartGallery w:val="autotext"/>
      </w:docPartObj>
    </w:sdtPr>
    <w:sdtContent>
      <w:p>
        <w:pPr>
          <w:pStyle w:val="14"/>
          <w:ind w:firstLine="560"/>
          <w:jc w:val="center"/>
        </w:pPr>
        <w:r>
          <w:fldChar w:fldCharType="begin"/>
        </w:r>
        <w:r>
          <w:instrText xml:space="preserve">PAGE   \* MERGEFORMAT</w:instrText>
        </w:r>
        <w:r>
          <w:fldChar w:fldCharType="separate"/>
        </w:r>
        <w:r>
          <w:rPr>
            <w:lang w:val="zh-CN"/>
          </w:rPr>
          <w:t>-</w:t>
        </w:r>
        <w:r>
          <w:t xml:space="preserve"> 67 -</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07954861"/>
      <w:docPartObj>
        <w:docPartGallery w:val="autotext"/>
      </w:docPartObj>
    </w:sdtPr>
    <w:sdtContent>
      <w:p>
        <w:pPr>
          <w:pStyle w:val="14"/>
          <w:ind w:firstLine="560"/>
        </w:pPr>
        <w:r>
          <w:fldChar w:fldCharType="begin"/>
        </w:r>
        <w:r>
          <w:instrText xml:space="preserve">PAGE   \* MERGEFORMAT</w:instrText>
        </w:r>
        <w:r>
          <w:fldChar w:fldCharType="separate"/>
        </w:r>
        <w:r>
          <w:rPr>
            <w:lang w:val="zh-CN"/>
          </w:rPr>
          <w:t>-</w:t>
        </w:r>
        <w:r>
          <w:t xml:space="preserve"> 84 -</w:t>
        </w:r>
        <w:r>
          <w:fldChar w:fldCharType="end"/>
        </w:r>
      </w:p>
    </w:sdtContent>
  </w:sdt>
  <w:p>
    <w:pPr>
      <w:pStyle w:val="14"/>
      <w:ind w:firstLine="5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80801036"/>
      <w:docPartObj>
        <w:docPartGallery w:val="autotext"/>
      </w:docPartObj>
    </w:sdtPr>
    <w:sdtContent>
      <w:p>
        <w:pPr>
          <w:pStyle w:val="14"/>
          <w:ind w:firstLine="560"/>
          <w:jc w:val="center"/>
        </w:pPr>
        <w:r>
          <w:fldChar w:fldCharType="begin"/>
        </w:r>
        <w:r>
          <w:instrText xml:space="preserve">PAGE   \* MERGEFORMAT</w:instrText>
        </w:r>
        <w:r>
          <w:fldChar w:fldCharType="separate"/>
        </w:r>
        <w:r>
          <w:rPr>
            <w:lang w:val="zh-CN"/>
          </w:rPr>
          <w:t>-</w:t>
        </w:r>
        <w:r>
          <w:t xml:space="preserve"> 86 -</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05478401"/>
      <w:docPartObj>
        <w:docPartGallery w:val="autotext"/>
      </w:docPartObj>
    </w:sdtPr>
    <w:sdtContent>
      <w:p>
        <w:pPr>
          <w:pStyle w:val="14"/>
          <w:ind w:firstLine="560"/>
        </w:pPr>
        <w:r>
          <w:fldChar w:fldCharType="begin"/>
        </w:r>
        <w:r>
          <w:instrText xml:space="preserve">PAGE   \* MERGEFORMAT</w:instrText>
        </w:r>
        <w:r>
          <w:fldChar w:fldCharType="separate"/>
        </w:r>
        <w:r>
          <w:rPr>
            <w:lang w:val="zh-CN"/>
          </w:rPr>
          <w:t>-</w:t>
        </w:r>
        <w:r>
          <w:t xml:space="preserve"> 84 -</w:t>
        </w:r>
        <w:r>
          <w:fldChar w:fldCharType="end"/>
        </w:r>
      </w:p>
    </w:sdtContent>
  </w:sdt>
  <w:p>
    <w:pPr>
      <w:pStyle w:val="14"/>
      <w:ind w:firstLine="5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64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6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E363C3"/>
    <w:multiLevelType w:val="multilevel"/>
    <w:tmpl w:val="36E363C3"/>
    <w:lvl w:ilvl="0" w:tentative="0">
      <w:start w:val="1"/>
      <w:numFmt w:val="japaneseCounting"/>
      <w:lvlText w:val="第%1章"/>
      <w:lvlJc w:val="left"/>
      <w:pPr>
        <w:ind w:left="1155" w:hanging="115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58"/>
  <w:drawingGridVerticalSpacing w:val="292"/>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3MWYxZDg4ZDU5YTA3NWI3ZjNjYzdkNzE3NWMyYzcifQ=="/>
  </w:docVars>
  <w:rsids>
    <w:rsidRoot w:val="00242BE7"/>
    <w:rsid w:val="00000607"/>
    <w:rsid w:val="00002511"/>
    <w:rsid w:val="000033F1"/>
    <w:rsid w:val="00007E45"/>
    <w:rsid w:val="0001032D"/>
    <w:rsid w:val="00010446"/>
    <w:rsid w:val="00011BFD"/>
    <w:rsid w:val="00013CA6"/>
    <w:rsid w:val="0001609A"/>
    <w:rsid w:val="00016C98"/>
    <w:rsid w:val="000173B2"/>
    <w:rsid w:val="00021443"/>
    <w:rsid w:val="0002245B"/>
    <w:rsid w:val="00031B09"/>
    <w:rsid w:val="00034DA6"/>
    <w:rsid w:val="0003548C"/>
    <w:rsid w:val="00037408"/>
    <w:rsid w:val="00043482"/>
    <w:rsid w:val="000452FB"/>
    <w:rsid w:val="000468EC"/>
    <w:rsid w:val="0005064F"/>
    <w:rsid w:val="000512B8"/>
    <w:rsid w:val="00052FB8"/>
    <w:rsid w:val="00053CBC"/>
    <w:rsid w:val="00054B36"/>
    <w:rsid w:val="00055E0B"/>
    <w:rsid w:val="00056975"/>
    <w:rsid w:val="0005760D"/>
    <w:rsid w:val="000616EC"/>
    <w:rsid w:val="00062936"/>
    <w:rsid w:val="000708A7"/>
    <w:rsid w:val="00072B55"/>
    <w:rsid w:val="0007331E"/>
    <w:rsid w:val="00073D77"/>
    <w:rsid w:val="00075595"/>
    <w:rsid w:val="00076FCC"/>
    <w:rsid w:val="0007710B"/>
    <w:rsid w:val="00081B13"/>
    <w:rsid w:val="00082041"/>
    <w:rsid w:val="0008504B"/>
    <w:rsid w:val="00085A9C"/>
    <w:rsid w:val="00087676"/>
    <w:rsid w:val="00090D9B"/>
    <w:rsid w:val="00094A13"/>
    <w:rsid w:val="00095A4A"/>
    <w:rsid w:val="00095C50"/>
    <w:rsid w:val="00097FED"/>
    <w:rsid w:val="000B2277"/>
    <w:rsid w:val="000B28F0"/>
    <w:rsid w:val="000B2E2F"/>
    <w:rsid w:val="000B45BE"/>
    <w:rsid w:val="000B67BC"/>
    <w:rsid w:val="000B6DA1"/>
    <w:rsid w:val="000B7B4C"/>
    <w:rsid w:val="000C0959"/>
    <w:rsid w:val="000C148C"/>
    <w:rsid w:val="000C22CA"/>
    <w:rsid w:val="000C2371"/>
    <w:rsid w:val="000C396E"/>
    <w:rsid w:val="000C3B77"/>
    <w:rsid w:val="000C566E"/>
    <w:rsid w:val="000C6BFE"/>
    <w:rsid w:val="000D0687"/>
    <w:rsid w:val="000D1051"/>
    <w:rsid w:val="000D18DC"/>
    <w:rsid w:val="000D1E92"/>
    <w:rsid w:val="000D332A"/>
    <w:rsid w:val="000D410E"/>
    <w:rsid w:val="000D4EDF"/>
    <w:rsid w:val="000D647E"/>
    <w:rsid w:val="000E046D"/>
    <w:rsid w:val="000E139F"/>
    <w:rsid w:val="000E30E1"/>
    <w:rsid w:val="000E3253"/>
    <w:rsid w:val="000E34ED"/>
    <w:rsid w:val="000E3940"/>
    <w:rsid w:val="000E49C2"/>
    <w:rsid w:val="000E4DEA"/>
    <w:rsid w:val="000E774D"/>
    <w:rsid w:val="000E7BA3"/>
    <w:rsid w:val="000E7E4A"/>
    <w:rsid w:val="000F0C82"/>
    <w:rsid w:val="000F140C"/>
    <w:rsid w:val="000F2F6A"/>
    <w:rsid w:val="000F360F"/>
    <w:rsid w:val="000F3683"/>
    <w:rsid w:val="000F3ACC"/>
    <w:rsid w:val="000F5399"/>
    <w:rsid w:val="000F66D9"/>
    <w:rsid w:val="000F746D"/>
    <w:rsid w:val="000F7BA8"/>
    <w:rsid w:val="00100EBB"/>
    <w:rsid w:val="00103DFA"/>
    <w:rsid w:val="0010521F"/>
    <w:rsid w:val="00105414"/>
    <w:rsid w:val="001065AA"/>
    <w:rsid w:val="001116EB"/>
    <w:rsid w:val="0011223C"/>
    <w:rsid w:val="00113362"/>
    <w:rsid w:val="00114684"/>
    <w:rsid w:val="00120359"/>
    <w:rsid w:val="0012110E"/>
    <w:rsid w:val="001224E1"/>
    <w:rsid w:val="00122926"/>
    <w:rsid w:val="00125EE5"/>
    <w:rsid w:val="00127A90"/>
    <w:rsid w:val="001351C4"/>
    <w:rsid w:val="0013762C"/>
    <w:rsid w:val="00137EC4"/>
    <w:rsid w:val="00141104"/>
    <w:rsid w:val="001453AA"/>
    <w:rsid w:val="001464B9"/>
    <w:rsid w:val="0014744B"/>
    <w:rsid w:val="00154F9D"/>
    <w:rsid w:val="00157569"/>
    <w:rsid w:val="00157CB5"/>
    <w:rsid w:val="00166DE7"/>
    <w:rsid w:val="00174B3C"/>
    <w:rsid w:val="001753B8"/>
    <w:rsid w:val="00177C98"/>
    <w:rsid w:val="00181811"/>
    <w:rsid w:val="00181B91"/>
    <w:rsid w:val="00181DA6"/>
    <w:rsid w:val="0018215E"/>
    <w:rsid w:val="00182C9E"/>
    <w:rsid w:val="001832A4"/>
    <w:rsid w:val="0018375B"/>
    <w:rsid w:val="0018552F"/>
    <w:rsid w:val="001867BF"/>
    <w:rsid w:val="00190ECB"/>
    <w:rsid w:val="0019122D"/>
    <w:rsid w:val="00191FB7"/>
    <w:rsid w:val="001920D1"/>
    <w:rsid w:val="0019291A"/>
    <w:rsid w:val="001931B7"/>
    <w:rsid w:val="0019385E"/>
    <w:rsid w:val="0019503B"/>
    <w:rsid w:val="00195225"/>
    <w:rsid w:val="00196A88"/>
    <w:rsid w:val="001A3851"/>
    <w:rsid w:val="001A39DB"/>
    <w:rsid w:val="001A3BA5"/>
    <w:rsid w:val="001A46F9"/>
    <w:rsid w:val="001A4A18"/>
    <w:rsid w:val="001A50D4"/>
    <w:rsid w:val="001A5597"/>
    <w:rsid w:val="001A58D2"/>
    <w:rsid w:val="001B11A2"/>
    <w:rsid w:val="001B4CF4"/>
    <w:rsid w:val="001B507D"/>
    <w:rsid w:val="001C10CD"/>
    <w:rsid w:val="001C157B"/>
    <w:rsid w:val="001C1C06"/>
    <w:rsid w:val="001C2746"/>
    <w:rsid w:val="001C3304"/>
    <w:rsid w:val="001C3E5B"/>
    <w:rsid w:val="001C5E93"/>
    <w:rsid w:val="001C69B1"/>
    <w:rsid w:val="001C7439"/>
    <w:rsid w:val="001C7B98"/>
    <w:rsid w:val="001D0B4F"/>
    <w:rsid w:val="001D12B2"/>
    <w:rsid w:val="001D6EA6"/>
    <w:rsid w:val="001D7888"/>
    <w:rsid w:val="001D7A5C"/>
    <w:rsid w:val="001E0BC4"/>
    <w:rsid w:val="001E18E4"/>
    <w:rsid w:val="001E2AF8"/>
    <w:rsid w:val="001E61CF"/>
    <w:rsid w:val="001F0359"/>
    <w:rsid w:val="001F072A"/>
    <w:rsid w:val="001F5412"/>
    <w:rsid w:val="001F7684"/>
    <w:rsid w:val="0020380C"/>
    <w:rsid w:val="00203B96"/>
    <w:rsid w:val="00204B25"/>
    <w:rsid w:val="00210B30"/>
    <w:rsid w:val="002128DC"/>
    <w:rsid w:val="002140CA"/>
    <w:rsid w:val="0021779F"/>
    <w:rsid w:val="00221E3E"/>
    <w:rsid w:val="00223D32"/>
    <w:rsid w:val="00224E39"/>
    <w:rsid w:val="002309C3"/>
    <w:rsid w:val="0023123B"/>
    <w:rsid w:val="00231A12"/>
    <w:rsid w:val="0023309C"/>
    <w:rsid w:val="002339F4"/>
    <w:rsid w:val="00234D6B"/>
    <w:rsid w:val="00236579"/>
    <w:rsid w:val="00242BE7"/>
    <w:rsid w:val="002439EC"/>
    <w:rsid w:val="0024472F"/>
    <w:rsid w:val="00247136"/>
    <w:rsid w:val="0025110E"/>
    <w:rsid w:val="00251C95"/>
    <w:rsid w:val="0025213F"/>
    <w:rsid w:val="00252A0A"/>
    <w:rsid w:val="002539F3"/>
    <w:rsid w:val="00253B91"/>
    <w:rsid w:val="002546F6"/>
    <w:rsid w:val="00261EC6"/>
    <w:rsid w:val="00265A0D"/>
    <w:rsid w:val="0026644C"/>
    <w:rsid w:val="002673C6"/>
    <w:rsid w:val="00271162"/>
    <w:rsid w:val="002730EA"/>
    <w:rsid w:val="00273A1F"/>
    <w:rsid w:val="0027534F"/>
    <w:rsid w:val="00277CB6"/>
    <w:rsid w:val="00280EF1"/>
    <w:rsid w:val="00281B83"/>
    <w:rsid w:val="00284C6D"/>
    <w:rsid w:val="0028590F"/>
    <w:rsid w:val="0028609E"/>
    <w:rsid w:val="002861E5"/>
    <w:rsid w:val="00287521"/>
    <w:rsid w:val="0029229E"/>
    <w:rsid w:val="002977EA"/>
    <w:rsid w:val="002A11E4"/>
    <w:rsid w:val="002A38E5"/>
    <w:rsid w:val="002A428F"/>
    <w:rsid w:val="002A4433"/>
    <w:rsid w:val="002A4AF7"/>
    <w:rsid w:val="002A605E"/>
    <w:rsid w:val="002A77A0"/>
    <w:rsid w:val="002A78E5"/>
    <w:rsid w:val="002B21D1"/>
    <w:rsid w:val="002B4634"/>
    <w:rsid w:val="002B5C8C"/>
    <w:rsid w:val="002B6568"/>
    <w:rsid w:val="002C13B5"/>
    <w:rsid w:val="002C2A94"/>
    <w:rsid w:val="002C34CC"/>
    <w:rsid w:val="002C43E1"/>
    <w:rsid w:val="002C6C58"/>
    <w:rsid w:val="002C7983"/>
    <w:rsid w:val="002D06B4"/>
    <w:rsid w:val="002D43F7"/>
    <w:rsid w:val="002D464F"/>
    <w:rsid w:val="002D599F"/>
    <w:rsid w:val="002D76FB"/>
    <w:rsid w:val="002D7E22"/>
    <w:rsid w:val="002E2CEF"/>
    <w:rsid w:val="002E49DC"/>
    <w:rsid w:val="002E53B4"/>
    <w:rsid w:val="002E6D02"/>
    <w:rsid w:val="002F2354"/>
    <w:rsid w:val="002F27D2"/>
    <w:rsid w:val="002F441A"/>
    <w:rsid w:val="002F5285"/>
    <w:rsid w:val="002F649B"/>
    <w:rsid w:val="00303F1A"/>
    <w:rsid w:val="003040E0"/>
    <w:rsid w:val="003111AE"/>
    <w:rsid w:val="00311D91"/>
    <w:rsid w:val="00312B19"/>
    <w:rsid w:val="0031314D"/>
    <w:rsid w:val="003144D1"/>
    <w:rsid w:val="003152F3"/>
    <w:rsid w:val="00315D05"/>
    <w:rsid w:val="00316F68"/>
    <w:rsid w:val="00322A50"/>
    <w:rsid w:val="00322B8F"/>
    <w:rsid w:val="003255F2"/>
    <w:rsid w:val="0032725B"/>
    <w:rsid w:val="00330797"/>
    <w:rsid w:val="00333F96"/>
    <w:rsid w:val="00336372"/>
    <w:rsid w:val="00337C8C"/>
    <w:rsid w:val="00340184"/>
    <w:rsid w:val="00343019"/>
    <w:rsid w:val="0034370C"/>
    <w:rsid w:val="00350791"/>
    <w:rsid w:val="00350BD4"/>
    <w:rsid w:val="0035134F"/>
    <w:rsid w:val="00351B4D"/>
    <w:rsid w:val="00351EB7"/>
    <w:rsid w:val="00354B11"/>
    <w:rsid w:val="00355367"/>
    <w:rsid w:val="003559DB"/>
    <w:rsid w:val="00357A9A"/>
    <w:rsid w:val="00357C6B"/>
    <w:rsid w:val="003601B4"/>
    <w:rsid w:val="003624C9"/>
    <w:rsid w:val="00362B93"/>
    <w:rsid w:val="00367E5D"/>
    <w:rsid w:val="00370D38"/>
    <w:rsid w:val="003754F1"/>
    <w:rsid w:val="00376325"/>
    <w:rsid w:val="0037698D"/>
    <w:rsid w:val="00377440"/>
    <w:rsid w:val="00380112"/>
    <w:rsid w:val="00381A9E"/>
    <w:rsid w:val="003828E7"/>
    <w:rsid w:val="003849A3"/>
    <w:rsid w:val="00387509"/>
    <w:rsid w:val="00387544"/>
    <w:rsid w:val="003900C5"/>
    <w:rsid w:val="0039035B"/>
    <w:rsid w:val="00390A48"/>
    <w:rsid w:val="00393F05"/>
    <w:rsid w:val="003A1282"/>
    <w:rsid w:val="003A204A"/>
    <w:rsid w:val="003A28C6"/>
    <w:rsid w:val="003A3128"/>
    <w:rsid w:val="003A3581"/>
    <w:rsid w:val="003A3879"/>
    <w:rsid w:val="003A55B2"/>
    <w:rsid w:val="003B0BA7"/>
    <w:rsid w:val="003B143C"/>
    <w:rsid w:val="003B1E78"/>
    <w:rsid w:val="003B2A60"/>
    <w:rsid w:val="003B2FA0"/>
    <w:rsid w:val="003B38C3"/>
    <w:rsid w:val="003B3FF7"/>
    <w:rsid w:val="003B67A2"/>
    <w:rsid w:val="003B740A"/>
    <w:rsid w:val="003B7F25"/>
    <w:rsid w:val="003C06F8"/>
    <w:rsid w:val="003C0ACD"/>
    <w:rsid w:val="003C4C7B"/>
    <w:rsid w:val="003C7190"/>
    <w:rsid w:val="003C7DFA"/>
    <w:rsid w:val="003D030B"/>
    <w:rsid w:val="003D0496"/>
    <w:rsid w:val="003D17E4"/>
    <w:rsid w:val="003D38FA"/>
    <w:rsid w:val="003D5446"/>
    <w:rsid w:val="003D70E9"/>
    <w:rsid w:val="003E03D0"/>
    <w:rsid w:val="003E35D4"/>
    <w:rsid w:val="003E38DC"/>
    <w:rsid w:val="003E6343"/>
    <w:rsid w:val="003E775F"/>
    <w:rsid w:val="003F0093"/>
    <w:rsid w:val="003F0644"/>
    <w:rsid w:val="003F67B3"/>
    <w:rsid w:val="004018DD"/>
    <w:rsid w:val="00402499"/>
    <w:rsid w:val="004041EC"/>
    <w:rsid w:val="00404737"/>
    <w:rsid w:val="00407850"/>
    <w:rsid w:val="004153BF"/>
    <w:rsid w:val="004155E3"/>
    <w:rsid w:val="00415B45"/>
    <w:rsid w:val="004172F2"/>
    <w:rsid w:val="004201F9"/>
    <w:rsid w:val="00421BF4"/>
    <w:rsid w:val="0042237D"/>
    <w:rsid w:val="00423517"/>
    <w:rsid w:val="00425211"/>
    <w:rsid w:val="00425C53"/>
    <w:rsid w:val="004262F1"/>
    <w:rsid w:val="00426571"/>
    <w:rsid w:val="00426824"/>
    <w:rsid w:val="00427D40"/>
    <w:rsid w:val="00430199"/>
    <w:rsid w:val="0043161E"/>
    <w:rsid w:val="004320FF"/>
    <w:rsid w:val="0043337A"/>
    <w:rsid w:val="004337ED"/>
    <w:rsid w:val="00433929"/>
    <w:rsid w:val="00434E7A"/>
    <w:rsid w:val="004352F7"/>
    <w:rsid w:val="00436133"/>
    <w:rsid w:val="00437025"/>
    <w:rsid w:val="00440797"/>
    <w:rsid w:val="00440E66"/>
    <w:rsid w:val="004425B4"/>
    <w:rsid w:val="00443F43"/>
    <w:rsid w:val="00445548"/>
    <w:rsid w:val="00446249"/>
    <w:rsid w:val="00446853"/>
    <w:rsid w:val="00446F8C"/>
    <w:rsid w:val="004543F9"/>
    <w:rsid w:val="00457B8B"/>
    <w:rsid w:val="004606D7"/>
    <w:rsid w:val="0046123B"/>
    <w:rsid w:val="004614A7"/>
    <w:rsid w:val="00461C95"/>
    <w:rsid w:val="00462780"/>
    <w:rsid w:val="004650AD"/>
    <w:rsid w:val="004652AE"/>
    <w:rsid w:val="00471E85"/>
    <w:rsid w:val="00472976"/>
    <w:rsid w:val="004743EB"/>
    <w:rsid w:val="00475DC4"/>
    <w:rsid w:val="0047783E"/>
    <w:rsid w:val="004816E6"/>
    <w:rsid w:val="0048236E"/>
    <w:rsid w:val="00484888"/>
    <w:rsid w:val="0048547A"/>
    <w:rsid w:val="00486DF3"/>
    <w:rsid w:val="00487123"/>
    <w:rsid w:val="00487A64"/>
    <w:rsid w:val="00490988"/>
    <w:rsid w:val="00490EB7"/>
    <w:rsid w:val="00492DF2"/>
    <w:rsid w:val="004935E2"/>
    <w:rsid w:val="00493824"/>
    <w:rsid w:val="00494C81"/>
    <w:rsid w:val="004A050F"/>
    <w:rsid w:val="004A0704"/>
    <w:rsid w:val="004A4AE5"/>
    <w:rsid w:val="004A5F12"/>
    <w:rsid w:val="004A601D"/>
    <w:rsid w:val="004B554C"/>
    <w:rsid w:val="004B6D1B"/>
    <w:rsid w:val="004B78DA"/>
    <w:rsid w:val="004C3232"/>
    <w:rsid w:val="004C3335"/>
    <w:rsid w:val="004C3878"/>
    <w:rsid w:val="004C3DA8"/>
    <w:rsid w:val="004C44FD"/>
    <w:rsid w:val="004C4BB5"/>
    <w:rsid w:val="004C4C9E"/>
    <w:rsid w:val="004C77E4"/>
    <w:rsid w:val="004D1FE6"/>
    <w:rsid w:val="004D4D61"/>
    <w:rsid w:val="004D5346"/>
    <w:rsid w:val="004D65CA"/>
    <w:rsid w:val="004E0428"/>
    <w:rsid w:val="004E2D2A"/>
    <w:rsid w:val="004E5A0B"/>
    <w:rsid w:val="004F05D1"/>
    <w:rsid w:val="004F661B"/>
    <w:rsid w:val="004F6AAD"/>
    <w:rsid w:val="00500688"/>
    <w:rsid w:val="00501249"/>
    <w:rsid w:val="00503908"/>
    <w:rsid w:val="00507F2C"/>
    <w:rsid w:val="00511250"/>
    <w:rsid w:val="00512A84"/>
    <w:rsid w:val="0051672B"/>
    <w:rsid w:val="00520857"/>
    <w:rsid w:val="005218BE"/>
    <w:rsid w:val="00522BA4"/>
    <w:rsid w:val="00524E90"/>
    <w:rsid w:val="00525C5C"/>
    <w:rsid w:val="0052673A"/>
    <w:rsid w:val="005275FB"/>
    <w:rsid w:val="005302A6"/>
    <w:rsid w:val="005329B5"/>
    <w:rsid w:val="00533830"/>
    <w:rsid w:val="00534B07"/>
    <w:rsid w:val="00534CFF"/>
    <w:rsid w:val="00535419"/>
    <w:rsid w:val="005376B5"/>
    <w:rsid w:val="0054177E"/>
    <w:rsid w:val="005424FA"/>
    <w:rsid w:val="00544D94"/>
    <w:rsid w:val="00545572"/>
    <w:rsid w:val="00546283"/>
    <w:rsid w:val="00546FCC"/>
    <w:rsid w:val="00550A12"/>
    <w:rsid w:val="00550DFD"/>
    <w:rsid w:val="005514B0"/>
    <w:rsid w:val="00553369"/>
    <w:rsid w:val="00556179"/>
    <w:rsid w:val="005634AA"/>
    <w:rsid w:val="00564FBD"/>
    <w:rsid w:val="005726F5"/>
    <w:rsid w:val="005729BD"/>
    <w:rsid w:val="005733D6"/>
    <w:rsid w:val="00577336"/>
    <w:rsid w:val="00580B40"/>
    <w:rsid w:val="00583868"/>
    <w:rsid w:val="005838E4"/>
    <w:rsid w:val="0058485B"/>
    <w:rsid w:val="005903DC"/>
    <w:rsid w:val="00590C72"/>
    <w:rsid w:val="005935A6"/>
    <w:rsid w:val="00594B1A"/>
    <w:rsid w:val="00594F02"/>
    <w:rsid w:val="0059562B"/>
    <w:rsid w:val="00595CEC"/>
    <w:rsid w:val="00596A2E"/>
    <w:rsid w:val="005A065D"/>
    <w:rsid w:val="005A08DA"/>
    <w:rsid w:val="005A246B"/>
    <w:rsid w:val="005A2B3C"/>
    <w:rsid w:val="005A333E"/>
    <w:rsid w:val="005A3884"/>
    <w:rsid w:val="005A3DC5"/>
    <w:rsid w:val="005A5330"/>
    <w:rsid w:val="005A701B"/>
    <w:rsid w:val="005A725F"/>
    <w:rsid w:val="005A7BCF"/>
    <w:rsid w:val="005B0FB1"/>
    <w:rsid w:val="005B1F9A"/>
    <w:rsid w:val="005B2966"/>
    <w:rsid w:val="005B31DA"/>
    <w:rsid w:val="005B728A"/>
    <w:rsid w:val="005B7BF8"/>
    <w:rsid w:val="005B7F64"/>
    <w:rsid w:val="005C0A01"/>
    <w:rsid w:val="005C5FE9"/>
    <w:rsid w:val="005D1609"/>
    <w:rsid w:val="005D1E06"/>
    <w:rsid w:val="005D5250"/>
    <w:rsid w:val="005D5CA7"/>
    <w:rsid w:val="005E0973"/>
    <w:rsid w:val="005E0D30"/>
    <w:rsid w:val="005E19EC"/>
    <w:rsid w:val="005E1B32"/>
    <w:rsid w:val="005E355D"/>
    <w:rsid w:val="005E365E"/>
    <w:rsid w:val="005E3944"/>
    <w:rsid w:val="005E5D29"/>
    <w:rsid w:val="005E6A72"/>
    <w:rsid w:val="005F0FAB"/>
    <w:rsid w:val="005F46D7"/>
    <w:rsid w:val="005F4737"/>
    <w:rsid w:val="005F6F2D"/>
    <w:rsid w:val="005F72F2"/>
    <w:rsid w:val="00606108"/>
    <w:rsid w:val="006067E2"/>
    <w:rsid w:val="00607E59"/>
    <w:rsid w:val="00607FB5"/>
    <w:rsid w:val="006109AB"/>
    <w:rsid w:val="00612187"/>
    <w:rsid w:val="00614A01"/>
    <w:rsid w:val="00615D34"/>
    <w:rsid w:val="0062223E"/>
    <w:rsid w:val="00622862"/>
    <w:rsid w:val="00623327"/>
    <w:rsid w:val="00623A84"/>
    <w:rsid w:val="0062615C"/>
    <w:rsid w:val="0063277A"/>
    <w:rsid w:val="00635F27"/>
    <w:rsid w:val="00637800"/>
    <w:rsid w:val="006428B0"/>
    <w:rsid w:val="00642BFF"/>
    <w:rsid w:val="00644E6B"/>
    <w:rsid w:val="00645B9A"/>
    <w:rsid w:val="0064602A"/>
    <w:rsid w:val="00647C67"/>
    <w:rsid w:val="00657AF4"/>
    <w:rsid w:val="00662677"/>
    <w:rsid w:val="006641C0"/>
    <w:rsid w:val="00666AB4"/>
    <w:rsid w:val="006709F0"/>
    <w:rsid w:val="00670C9F"/>
    <w:rsid w:val="00671DC4"/>
    <w:rsid w:val="00672491"/>
    <w:rsid w:val="00672B0D"/>
    <w:rsid w:val="00673C1A"/>
    <w:rsid w:val="00676DD7"/>
    <w:rsid w:val="00681935"/>
    <w:rsid w:val="006822A1"/>
    <w:rsid w:val="00686145"/>
    <w:rsid w:val="0069005A"/>
    <w:rsid w:val="0069275F"/>
    <w:rsid w:val="0069399F"/>
    <w:rsid w:val="006948FC"/>
    <w:rsid w:val="00696D1A"/>
    <w:rsid w:val="00697A1C"/>
    <w:rsid w:val="006A02D4"/>
    <w:rsid w:val="006A2C67"/>
    <w:rsid w:val="006A3268"/>
    <w:rsid w:val="006A6E67"/>
    <w:rsid w:val="006A7AC5"/>
    <w:rsid w:val="006B086B"/>
    <w:rsid w:val="006B1B2F"/>
    <w:rsid w:val="006B2A96"/>
    <w:rsid w:val="006B4652"/>
    <w:rsid w:val="006B46A2"/>
    <w:rsid w:val="006B509B"/>
    <w:rsid w:val="006C0808"/>
    <w:rsid w:val="006C2573"/>
    <w:rsid w:val="006C31F8"/>
    <w:rsid w:val="006C3380"/>
    <w:rsid w:val="006C6AC1"/>
    <w:rsid w:val="006D084A"/>
    <w:rsid w:val="006D17D1"/>
    <w:rsid w:val="006E04CF"/>
    <w:rsid w:val="006E0B8A"/>
    <w:rsid w:val="006E120C"/>
    <w:rsid w:val="006E1E81"/>
    <w:rsid w:val="006E2EB6"/>
    <w:rsid w:val="006E467D"/>
    <w:rsid w:val="006E5742"/>
    <w:rsid w:val="006E6038"/>
    <w:rsid w:val="006E7E72"/>
    <w:rsid w:val="006F2380"/>
    <w:rsid w:val="006F2D01"/>
    <w:rsid w:val="006F3837"/>
    <w:rsid w:val="006F6EAB"/>
    <w:rsid w:val="006F7E9C"/>
    <w:rsid w:val="0070014A"/>
    <w:rsid w:val="0070016F"/>
    <w:rsid w:val="00701973"/>
    <w:rsid w:val="00701DE9"/>
    <w:rsid w:val="00702CC5"/>
    <w:rsid w:val="007040FD"/>
    <w:rsid w:val="0070429C"/>
    <w:rsid w:val="00704EB6"/>
    <w:rsid w:val="00705CDE"/>
    <w:rsid w:val="007066AA"/>
    <w:rsid w:val="007071F4"/>
    <w:rsid w:val="007101E2"/>
    <w:rsid w:val="007132E5"/>
    <w:rsid w:val="007133B6"/>
    <w:rsid w:val="007134DD"/>
    <w:rsid w:val="00716324"/>
    <w:rsid w:val="007204AD"/>
    <w:rsid w:val="007238C1"/>
    <w:rsid w:val="0073162D"/>
    <w:rsid w:val="007327E9"/>
    <w:rsid w:val="007328A8"/>
    <w:rsid w:val="00732CE2"/>
    <w:rsid w:val="00733106"/>
    <w:rsid w:val="00734691"/>
    <w:rsid w:val="007347A7"/>
    <w:rsid w:val="00736735"/>
    <w:rsid w:val="0073732E"/>
    <w:rsid w:val="007405B9"/>
    <w:rsid w:val="00744035"/>
    <w:rsid w:val="00745521"/>
    <w:rsid w:val="00746F46"/>
    <w:rsid w:val="00752F47"/>
    <w:rsid w:val="007532A0"/>
    <w:rsid w:val="00753EC1"/>
    <w:rsid w:val="00754024"/>
    <w:rsid w:val="007544DC"/>
    <w:rsid w:val="007550C1"/>
    <w:rsid w:val="00755407"/>
    <w:rsid w:val="00756026"/>
    <w:rsid w:val="0075662A"/>
    <w:rsid w:val="00757BC8"/>
    <w:rsid w:val="007618EC"/>
    <w:rsid w:val="0076256F"/>
    <w:rsid w:val="00765459"/>
    <w:rsid w:val="00765583"/>
    <w:rsid w:val="00765AB8"/>
    <w:rsid w:val="0076726B"/>
    <w:rsid w:val="00770698"/>
    <w:rsid w:val="00770821"/>
    <w:rsid w:val="0077153C"/>
    <w:rsid w:val="00772A32"/>
    <w:rsid w:val="00772D09"/>
    <w:rsid w:val="00773B45"/>
    <w:rsid w:val="0077615D"/>
    <w:rsid w:val="00776D9F"/>
    <w:rsid w:val="00783080"/>
    <w:rsid w:val="00784519"/>
    <w:rsid w:val="00786739"/>
    <w:rsid w:val="00790012"/>
    <w:rsid w:val="00792946"/>
    <w:rsid w:val="00792F45"/>
    <w:rsid w:val="00793BEA"/>
    <w:rsid w:val="00795CEC"/>
    <w:rsid w:val="00796EE6"/>
    <w:rsid w:val="007A0933"/>
    <w:rsid w:val="007A2C2D"/>
    <w:rsid w:val="007A4775"/>
    <w:rsid w:val="007A5A5B"/>
    <w:rsid w:val="007B14F1"/>
    <w:rsid w:val="007B1C51"/>
    <w:rsid w:val="007B31AB"/>
    <w:rsid w:val="007B6B4F"/>
    <w:rsid w:val="007C0B9B"/>
    <w:rsid w:val="007C0D70"/>
    <w:rsid w:val="007C644B"/>
    <w:rsid w:val="007C666D"/>
    <w:rsid w:val="007C7BCC"/>
    <w:rsid w:val="007D01F4"/>
    <w:rsid w:val="007D1E17"/>
    <w:rsid w:val="007D24A2"/>
    <w:rsid w:val="007D2DD3"/>
    <w:rsid w:val="007D32CB"/>
    <w:rsid w:val="007D3E6A"/>
    <w:rsid w:val="007D4B42"/>
    <w:rsid w:val="007D5210"/>
    <w:rsid w:val="007E07CC"/>
    <w:rsid w:val="007E2B6D"/>
    <w:rsid w:val="007E2DC9"/>
    <w:rsid w:val="007E569B"/>
    <w:rsid w:val="007E5BA1"/>
    <w:rsid w:val="007E7A2E"/>
    <w:rsid w:val="007F34A8"/>
    <w:rsid w:val="007F412D"/>
    <w:rsid w:val="007F6473"/>
    <w:rsid w:val="007F7647"/>
    <w:rsid w:val="007F7701"/>
    <w:rsid w:val="00800165"/>
    <w:rsid w:val="008003AB"/>
    <w:rsid w:val="008025D0"/>
    <w:rsid w:val="0080277E"/>
    <w:rsid w:val="008041C0"/>
    <w:rsid w:val="008053DF"/>
    <w:rsid w:val="00805F4A"/>
    <w:rsid w:val="0080608F"/>
    <w:rsid w:val="00807957"/>
    <w:rsid w:val="00810DDF"/>
    <w:rsid w:val="00812363"/>
    <w:rsid w:val="00812787"/>
    <w:rsid w:val="00813B25"/>
    <w:rsid w:val="00816D00"/>
    <w:rsid w:val="00817608"/>
    <w:rsid w:val="00817AFC"/>
    <w:rsid w:val="00817D0D"/>
    <w:rsid w:val="00820D66"/>
    <w:rsid w:val="00824D63"/>
    <w:rsid w:val="00827651"/>
    <w:rsid w:val="00831CC4"/>
    <w:rsid w:val="00831E41"/>
    <w:rsid w:val="00832244"/>
    <w:rsid w:val="00834BB3"/>
    <w:rsid w:val="008414B6"/>
    <w:rsid w:val="00841628"/>
    <w:rsid w:val="00844090"/>
    <w:rsid w:val="00845622"/>
    <w:rsid w:val="00847E48"/>
    <w:rsid w:val="00852C32"/>
    <w:rsid w:val="00861115"/>
    <w:rsid w:val="00862447"/>
    <w:rsid w:val="00864DA2"/>
    <w:rsid w:val="00866A45"/>
    <w:rsid w:val="008749A2"/>
    <w:rsid w:val="00875C55"/>
    <w:rsid w:val="00876AC9"/>
    <w:rsid w:val="00877A07"/>
    <w:rsid w:val="0088247C"/>
    <w:rsid w:val="00882505"/>
    <w:rsid w:val="00886364"/>
    <w:rsid w:val="0088687D"/>
    <w:rsid w:val="00887655"/>
    <w:rsid w:val="0088782F"/>
    <w:rsid w:val="00890028"/>
    <w:rsid w:val="00893D2D"/>
    <w:rsid w:val="00894130"/>
    <w:rsid w:val="00895CAB"/>
    <w:rsid w:val="008975CC"/>
    <w:rsid w:val="008A2B18"/>
    <w:rsid w:val="008A3311"/>
    <w:rsid w:val="008A4425"/>
    <w:rsid w:val="008A625E"/>
    <w:rsid w:val="008A75A8"/>
    <w:rsid w:val="008A784E"/>
    <w:rsid w:val="008A7D05"/>
    <w:rsid w:val="008B0E35"/>
    <w:rsid w:val="008B11BA"/>
    <w:rsid w:val="008B2BDA"/>
    <w:rsid w:val="008B36C7"/>
    <w:rsid w:val="008B6261"/>
    <w:rsid w:val="008B659E"/>
    <w:rsid w:val="008B7BF5"/>
    <w:rsid w:val="008C1011"/>
    <w:rsid w:val="008C1463"/>
    <w:rsid w:val="008C1A72"/>
    <w:rsid w:val="008C1D6B"/>
    <w:rsid w:val="008C2AA5"/>
    <w:rsid w:val="008C2B10"/>
    <w:rsid w:val="008C2D05"/>
    <w:rsid w:val="008C3D11"/>
    <w:rsid w:val="008C492C"/>
    <w:rsid w:val="008C750F"/>
    <w:rsid w:val="008D1387"/>
    <w:rsid w:val="008D13A5"/>
    <w:rsid w:val="008D64D4"/>
    <w:rsid w:val="008D6AA8"/>
    <w:rsid w:val="008D7EF3"/>
    <w:rsid w:val="008E107E"/>
    <w:rsid w:val="008E1178"/>
    <w:rsid w:val="008E20AE"/>
    <w:rsid w:val="008E3CDD"/>
    <w:rsid w:val="008E4266"/>
    <w:rsid w:val="008E45EA"/>
    <w:rsid w:val="008E6ACC"/>
    <w:rsid w:val="008F0371"/>
    <w:rsid w:val="008F2E68"/>
    <w:rsid w:val="008F3C45"/>
    <w:rsid w:val="008F526B"/>
    <w:rsid w:val="00901FBC"/>
    <w:rsid w:val="0090300B"/>
    <w:rsid w:val="00903906"/>
    <w:rsid w:val="00903BA4"/>
    <w:rsid w:val="009060B3"/>
    <w:rsid w:val="00906B4F"/>
    <w:rsid w:val="0091551B"/>
    <w:rsid w:val="00915604"/>
    <w:rsid w:val="00915DCE"/>
    <w:rsid w:val="009172F7"/>
    <w:rsid w:val="00920349"/>
    <w:rsid w:val="00921667"/>
    <w:rsid w:val="00922843"/>
    <w:rsid w:val="00923693"/>
    <w:rsid w:val="00923C19"/>
    <w:rsid w:val="0092566A"/>
    <w:rsid w:val="009272EC"/>
    <w:rsid w:val="0093124E"/>
    <w:rsid w:val="009312E0"/>
    <w:rsid w:val="00935E7D"/>
    <w:rsid w:val="00935F39"/>
    <w:rsid w:val="009360C7"/>
    <w:rsid w:val="00936365"/>
    <w:rsid w:val="00940455"/>
    <w:rsid w:val="0094277A"/>
    <w:rsid w:val="009471EC"/>
    <w:rsid w:val="00947D8C"/>
    <w:rsid w:val="00954661"/>
    <w:rsid w:val="009632D3"/>
    <w:rsid w:val="00967448"/>
    <w:rsid w:val="009715F4"/>
    <w:rsid w:val="00971D2A"/>
    <w:rsid w:val="00972B98"/>
    <w:rsid w:val="00972D07"/>
    <w:rsid w:val="0097414B"/>
    <w:rsid w:val="009742FD"/>
    <w:rsid w:val="009821FE"/>
    <w:rsid w:val="009829CC"/>
    <w:rsid w:val="00982FF8"/>
    <w:rsid w:val="009836CD"/>
    <w:rsid w:val="00985898"/>
    <w:rsid w:val="00986110"/>
    <w:rsid w:val="009861BE"/>
    <w:rsid w:val="00986ACB"/>
    <w:rsid w:val="00991AE6"/>
    <w:rsid w:val="00992EC1"/>
    <w:rsid w:val="00995271"/>
    <w:rsid w:val="0099557E"/>
    <w:rsid w:val="00996B7F"/>
    <w:rsid w:val="009970FA"/>
    <w:rsid w:val="009A0BFA"/>
    <w:rsid w:val="009A2049"/>
    <w:rsid w:val="009A29EE"/>
    <w:rsid w:val="009A5799"/>
    <w:rsid w:val="009B0EDF"/>
    <w:rsid w:val="009B1526"/>
    <w:rsid w:val="009B643F"/>
    <w:rsid w:val="009B6756"/>
    <w:rsid w:val="009B7171"/>
    <w:rsid w:val="009B7CA3"/>
    <w:rsid w:val="009C0898"/>
    <w:rsid w:val="009C0FEE"/>
    <w:rsid w:val="009C167B"/>
    <w:rsid w:val="009C364F"/>
    <w:rsid w:val="009C6413"/>
    <w:rsid w:val="009D46ED"/>
    <w:rsid w:val="009D6A9E"/>
    <w:rsid w:val="009D7B2F"/>
    <w:rsid w:val="009E0193"/>
    <w:rsid w:val="009E0804"/>
    <w:rsid w:val="009E0C6C"/>
    <w:rsid w:val="009E0E6F"/>
    <w:rsid w:val="009E278A"/>
    <w:rsid w:val="009E2AD6"/>
    <w:rsid w:val="009E4578"/>
    <w:rsid w:val="009E5165"/>
    <w:rsid w:val="009E742E"/>
    <w:rsid w:val="009E76EA"/>
    <w:rsid w:val="009F16E6"/>
    <w:rsid w:val="009F18E6"/>
    <w:rsid w:val="009F5BB3"/>
    <w:rsid w:val="009F6DF1"/>
    <w:rsid w:val="009F75C0"/>
    <w:rsid w:val="00A002BA"/>
    <w:rsid w:val="00A00CC7"/>
    <w:rsid w:val="00A00DA8"/>
    <w:rsid w:val="00A015B2"/>
    <w:rsid w:val="00A02943"/>
    <w:rsid w:val="00A03211"/>
    <w:rsid w:val="00A052C8"/>
    <w:rsid w:val="00A055C4"/>
    <w:rsid w:val="00A0566E"/>
    <w:rsid w:val="00A05AF4"/>
    <w:rsid w:val="00A1152C"/>
    <w:rsid w:val="00A13448"/>
    <w:rsid w:val="00A142F6"/>
    <w:rsid w:val="00A16B65"/>
    <w:rsid w:val="00A17038"/>
    <w:rsid w:val="00A20C87"/>
    <w:rsid w:val="00A216EA"/>
    <w:rsid w:val="00A30623"/>
    <w:rsid w:val="00A31DDE"/>
    <w:rsid w:val="00A36783"/>
    <w:rsid w:val="00A36D85"/>
    <w:rsid w:val="00A37140"/>
    <w:rsid w:val="00A37587"/>
    <w:rsid w:val="00A37E57"/>
    <w:rsid w:val="00A43F26"/>
    <w:rsid w:val="00A5008B"/>
    <w:rsid w:val="00A53A29"/>
    <w:rsid w:val="00A5527B"/>
    <w:rsid w:val="00A57C64"/>
    <w:rsid w:val="00A601E6"/>
    <w:rsid w:val="00A60559"/>
    <w:rsid w:val="00A61FB7"/>
    <w:rsid w:val="00A62B12"/>
    <w:rsid w:val="00A63148"/>
    <w:rsid w:val="00A631C7"/>
    <w:rsid w:val="00A63303"/>
    <w:rsid w:val="00A661A8"/>
    <w:rsid w:val="00A66BE3"/>
    <w:rsid w:val="00A75AB6"/>
    <w:rsid w:val="00A85038"/>
    <w:rsid w:val="00A861B7"/>
    <w:rsid w:val="00A90EE3"/>
    <w:rsid w:val="00A92A0C"/>
    <w:rsid w:val="00A92EA9"/>
    <w:rsid w:val="00A94FB0"/>
    <w:rsid w:val="00A9632F"/>
    <w:rsid w:val="00A972D8"/>
    <w:rsid w:val="00A97B01"/>
    <w:rsid w:val="00AA0B56"/>
    <w:rsid w:val="00AA1587"/>
    <w:rsid w:val="00AA1968"/>
    <w:rsid w:val="00AA2371"/>
    <w:rsid w:val="00AA2695"/>
    <w:rsid w:val="00AA3B76"/>
    <w:rsid w:val="00AA5986"/>
    <w:rsid w:val="00AA697F"/>
    <w:rsid w:val="00AB0A75"/>
    <w:rsid w:val="00AB0D0D"/>
    <w:rsid w:val="00AB1F2C"/>
    <w:rsid w:val="00AB4B00"/>
    <w:rsid w:val="00AB4E2D"/>
    <w:rsid w:val="00AB5601"/>
    <w:rsid w:val="00AB5F96"/>
    <w:rsid w:val="00AB715C"/>
    <w:rsid w:val="00AB7B38"/>
    <w:rsid w:val="00AC4AB9"/>
    <w:rsid w:val="00AD133E"/>
    <w:rsid w:val="00AD3639"/>
    <w:rsid w:val="00AD4C5C"/>
    <w:rsid w:val="00AE31A5"/>
    <w:rsid w:val="00AE394F"/>
    <w:rsid w:val="00AE476C"/>
    <w:rsid w:val="00AE4AC5"/>
    <w:rsid w:val="00AE4EA3"/>
    <w:rsid w:val="00AE79DA"/>
    <w:rsid w:val="00AF1C76"/>
    <w:rsid w:val="00AF1D15"/>
    <w:rsid w:val="00AF28E8"/>
    <w:rsid w:val="00AF4AD5"/>
    <w:rsid w:val="00AF5C04"/>
    <w:rsid w:val="00AF6AA9"/>
    <w:rsid w:val="00AF6D61"/>
    <w:rsid w:val="00AF7C00"/>
    <w:rsid w:val="00B0042F"/>
    <w:rsid w:val="00B007D4"/>
    <w:rsid w:val="00B015D1"/>
    <w:rsid w:val="00B016F6"/>
    <w:rsid w:val="00B01A79"/>
    <w:rsid w:val="00B01E32"/>
    <w:rsid w:val="00B02AC6"/>
    <w:rsid w:val="00B04E9C"/>
    <w:rsid w:val="00B07646"/>
    <w:rsid w:val="00B10069"/>
    <w:rsid w:val="00B10C2A"/>
    <w:rsid w:val="00B111A6"/>
    <w:rsid w:val="00B11C82"/>
    <w:rsid w:val="00B12F77"/>
    <w:rsid w:val="00B143D4"/>
    <w:rsid w:val="00B1603E"/>
    <w:rsid w:val="00B160F4"/>
    <w:rsid w:val="00B202C3"/>
    <w:rsid w:val="00B22204"/>
    <w:rsid w:val="00B24D7F"/>
    <w:rsid w:val="00B26D39"/>
    <w:rsid w:val="00B3167B"/>
    <w:rsid w:val="00B32668"/>
    <w:rsid w:val="00B328A0"/>
    <w:rsid w:val="00B34B96"/>
    <w:rsid w:val="00B358AF"/>
    <w:rsid w:val="00B4050E"/>
    <w:rsid w:val="00B40711"/>
    <w:rsid w:val="00B42F9C"/>
    <w:rsid w:val="00B43153"/>
    <w:rsid w:val="00B45E23"/>
    <w:rsid w:val="00B47492"/>
    <w:rsid w:val="00B50DFD"/>
    <w:rsid w:val="00B52B74"/>
    <w:rsid w:val="00B557A3"/>
    <w:rsid w:val="00B562D8"/>
    <w:rsid w:val="00B57F7F"/>
    <w:rsid w:val="00B634DB"/>
    <w:rsid w:val="00B649B3"/>
    <w:rsid w:val="00B65461"/>
    <w:rsid w:val="00B662C1"/>
    <w:rsid w:val="00B66A1A"/>
    <w:rsid w:val="00B66CAB"/>
    <w:rsid w:val="00B70B21"/>
    <w:rsid w:val="00B73896"/>
    <w:rsid w:val="00B73FC6"/>
    <w:rsid w:val="00B75BC2"/>
    <w:rsid w:val="00B775BB"/>
    <w:rsid w:val="00B77E9F"/>
    <w:rsid w:val="00B77EA3"/>
    <w:rsid w:val="00B80558"/>
    <w:rsid w:val="00B8291F"/>
    <w:rsid w:val="00B8429F"/>
    <w:rsid w:val="00B84B8D"/>
    <w:rsid w:val="00B84DF0"/>
    <w:rsid w:val="00B87567"/>
    <w:rsid w:val="00B92EC4"/>
    <w:rsid w:val="00B932DC"/>
    <w:rsid w:val="00B935C5"/>
    <w:rsid w:val="00B93B72"/>
    <w:rsid w:val="00B9448F"/>
    <w:rsid w:val="00B97F02"/>
    <w:rsid w:val="00BA0695"/>
    <w:rsid w:val="00BA0726"/>
    <w:rsid w:val="00BA09FC"/>
    <w:rsid w:val="00BA0C78"/>
    <w:rsid w:val="00BA3CE6"/>
    <w:rsid w:val="00BA4FF9"/>
    <w:rsid w:val="00BA59CD"/>
    <w:rsid w:val="00BA6DA3"/>
    <w:rsid w:val="00BB0A44"/>
    <w:rsid w:val="00BB5173"/>
    <w:rsid w:val="00BB59B1"/>
    <w:rsid w:val="00BB5A4F"/>
    <w:rsid w:val="00BB5DE2"/>
    <w:rsid w:val="00BB65F7"/>
    <w:rsid w:val="00BB6A0C"/>
    <w:rsid w:val="00BC1A9F"/>
    <w:rsid w:val="00BC1CC2"/>
    <w:rsid w:val="00BC20AC"/>
    <w:rsid w:val="00BC2F66"/>
    <w:rsid w:val="00BC55DE"/>
    <w:rsid w:val="00BC5A63"/>
    <w:rsid w:val="00BC7524"/>
    <w:rsid w:val="00BC7C27"/>
    <w:rsid w:val="00BD3935"/>
    <w:rsid w:val="00BD3E46"/>
    <w:rsid w:val="00BD4B30"/>
    <w:rsid w:val="00BD7AB1"/>
    <w:rsid w:val="00BE0287"/>
    <w:rsid w:val="00BE02D5"/>
    <w:rsid w:val="00BE23C2"/>
    <w:rsid w:val="00BF07F3"/>
    <w:rsid w:val="00BF107C"/>
    <w:rsid w:val="00BF2456"/>
    <w:rsid w:val="00BF4559"/>
    <w:rsid w:val="00C01156"/>
    <w:rsid w:val="00C028DA"/>
    <w:rsid w:val="00C02D74"/>
    <w:rsid w:val="00C03361"/>
    <w:rsid w:val="00C041D0"/>
    <w:rsid w:val="00C10600"/>
    <w:rsid w:val="00C129A6"/>
    <w:rsid w:val="00C21AD2"/>
    <w:rsid w:val="00C24F4D"/>
    <w:rsid w:val="00C255F8"/>
    <w:rsid w:val="00C269B5"/>
    <w:rsid w:val="00C26BF2"/>
    <w:rsid w:val="00C3016C"/>
    <w:rsid w:val="00C33982"/>
    <w:rsid w:val="00C344CD"/>
    <w:rsid w:val="00C45634"/>
    <w:rsid w:val="00C530EB"/>
    <w:rsid w:val="00C554D9"/>
    <w:rsid w:val="00C56325"/>
    <w:rsid w:val="00C56576"/>
    <w:rsid w:val="00C60D0D"/>
    <w:rsid w:val="00C6387F"/>
    <w:rsid w:val="00C65CC7"/>
    <w:rsid w:val="00C670AB"/>
    <w:rsid w:val="00C671F0"/>
    <w:rsid w:val="00C71D75"/>
    <w:rsid w:val="00C73816"/>
    <w:rsid w:val="00C741EB"/>
    <w:rsid w:val="00C749D3"/>
    <w:rsid w:val="00C75A36"/>
    <w:rsid w:val="00C7712D"/>
    <w:rsid w:val="00C772F3"/>
    <w:rsid w:val="00C776F9"/>
    <w:rsid w:val="00C80018"/>
    <w:rsid w:val="00C80753"/>
    <w:rsid w:val="00C82A9C"/>
    <w:rsid w:val="00C82C1E"/>
    <w:rsid w:val="00C84F31"/>
    <w:rsid w:val="00C85462"/>
    <w:rsid w:val="00C85B87"/>
    <w:rsid w:val="00C86927"/>
    <w:rsid w:val="00C86D19"/>
    <w:rsid w:val="00C920E8"/>
    <w:rsid w:val="00C92B91"/>
    <w:rsid w:val="00C93F38"/>
    <w:rsid w:val="00C94C22"/>
    <w:rsid w:val="00C95C8D"/>
    <w:rsid w:val="00CA20B5"/>
    <w:rsid w:val="00CA7F23"/>
    <w:rsid w:val="00CB2498"/>
    <w:rsid w:val="00CB2BD4"/>
    <w:rsid w:val="00CB326A"/>
    <w:rsid w:val="00CB5263"/>
    <w:rsid w:val="00CC125A"/>
    <w:rsid w:val="00CC17E2"/>
    <w:rsid w:val="00CC1C31"/>
    <w:rsid w:val="00CC2379"/>
    <w:rsid w:val="00CC54AD"/>
    <w:rsid w:val="00CC6C7E"/>
    <w:rsid w:val="00CC7A00"/>
    <w:rsid w:val="00CD4BB6"/>
    <w:rsid w:val="00CD5360"/>
    <w:rsid w:val="00CD7210"/>
    <w:rsid w:val="00CD72AE"/>
    <w:rsid w:val="00CD7396"/>
    <w:rsid w:val="00CD7CA1"/>
    <w:rsid w:val="00CE05C8"/>
    <w:rsid w:val="00CE0BA4"/>
    <w:rsid w:val="00CE423F"/>
    <w:rsid w:val="00CE5165"/>
    <w:rsid w:val="00CE6B89"/>
    <w:rsid w:val="00CE6E30"/>
    <w:rsid w:val="00CE70CE"/>
    <w:rsid w:val="00CE7696"/>
    <w:rsid w:val="00CF08DE"/>
    <w:rsid w:val="00CF162A"/>
    <w:rsid w:val="00CF3312"/>
    <w:rsid w:val="00CF4480"/>
    <w:rsid w:val="00CF4A9E"/>
    <w:rsid w:val="00CF6AA8"/>
    <w:rsid w:val="00CF788A"/>
    <w:rsid w:val="00CF797E"/>
    <w:rsid w:val="00CF7A2F"/>
    <w:rsid w:val="00D00E4B"/>
    <w:rsid w:val="00D01F3D"/>
    <w:rsid w:val="00D0247A"/>
    <w:rsid w:val="00D02AB9"/>
    <w:rsid w:val="00D03D4F"/>
    <w:rsid w:val="00D06085"/>
    <w:rsid w:val="00D1213A"/>
    <w:rsid w:val="00D12FD8"/>
    <w:rsid w:val="00D130BD"/>
    <w:rsid w:val="00D135D5"/>
    <w:rsid w:val="00D13648"/>
    <w:rsid w:val="00D13A72"/>
    <w:rsid w:val="00D259B7"/>
    <w:rsid w:val="00D25C59"/>
    <w:rsid w:val="00D25EAD"/>
    <w:rsid w:val="00D316C0"/>
    <w:rsid w:val="00D34B6F"/>
    <w:rsid w:val="00D35786"/>
    <w:rsid w:val="00D36609"/>
    <w:rsid w:val="00D42CEA"/>
    <w:rsid w:val="00D44A42"/>
    <w:rsid w:val="00D44FCD"/>
    <w:rsid w:val="00D4574A"/>
    <w:rsid w:val="00D5182E"/>
    <w:rsid w:val="00D52D83"/>
    <w:rsid w:val="00D548EB"/>
    <w:rsid w:val="00D5648D"/>
    <w:rsid w:val="00D6178D"/>
    <w:rsid w:val="00D619D6"/>
    <w:rsid w:val="00D61D94"/>
    <w:rsid w:val="00D6260E"/>
    <w:rsid w:val="00D62CA9"/>
    <w:rsid w:val="00D62E55"/>
    <w:rsid w:val="00D632FA"/>
    <w:rsid w:val="00D65A04"/>
    <w:rsid w:val="00D67060"/>
    <w:rsid w:val="00D67422"/>
    <w:rsid w:val="00D727A9"/>
    <w:rsid w:val="00D74826"/>
    <w:rsid w:val="00D76E34"/>
    <w:rsid w:val="00D804A2"/>
    <w:rsid w:val="00D8301D"/>
    <w:rsid w:val="00D838A1"/>
    <w:rsid w:val="00D83B8E"/>
    <w:rsid w:val="00D83E7B"/>
    <w:rsid w:val="00D84C87"/>
    <w:rsid w:val="00D867AA"/>
    <w:rsid w:val="00D90191"/>
    <w:rsid w:val="00D91100"/>
    <w:rsid w:val="00D92436"/>
    <w:rsid w:val="00D92751"/>
    <w:rsid w:val="00D92F67"/>
    <w:rsid w:val="00D93B5C"/>
    <w:rsid w:val="00D96FB7"/>
    <w:rsid w:val="00D97207"/>
    <w:rsid w:val="00DA01C5"/>
    <w:rsid w:val="00DA0B75"/>
    <w:rsid w:val="00DA0DBD"/>
    <w:rsid w:val="00DA1456"/>
    <w:rsid w:val="00DA31B8"/>
    <w:rsid w:val="00DA4B34"/>
    <w:rsid w:val="00DA5694"/>
    <w:rsid w:val="00DA738B"/>
    <w:rsid w:val="00DB0084"/>
    <w:rsid w:val="00DB1A01"/>
    <w:rsid w:val="00DB4003"/>
    <w:rsid w:val="00DB5CBF"/>
    <w:rsid w:val="00DB79DF"/>
    <w:rsid w:val="00DB7A0B"/>
    <w:rsid w:val="00DC1137"/>
    <w:rsid w:val="00DC1336"/>
    <w:rsid w:val="00DC1E1E"/>
    <w:rsid w:val="00DC3EC8"/>
    <w:rsid w:val="00DC43D0"/>
    <w:rsid w:val="00DC4762"/>
    <w:rsid w:val="00DC52B2"/>
    <w:rsid w:val="00DC7FA4"/>
    <w:rsid w:val="00DD1A6E"/>
    <w:rsid w:val="00DD20E6"/>
    <w:rsid w:val="00DD2349"/>
    <w:rsid w:val="00DD40B0"/>
    <w:rsid w:val="00DD7545"/>
    <w:rsid w:val="00DE2741"/>
    <w:rsid w:val="00DE3CE6"/>
    <w:rsid w:val="00DE6FF6"/>
    <w:rsid w:val="00DE7FF7"/>
    <w:rsid w:val="00DF27D6"/>
    <w:rsid w:val="00DF3C0F"/>
    <w:rsid w:val="00DF4064"/>
    <w:rsid w:val="00DF5F8B"/>
    <w:rsid w:val="00DF620F"/>
    <w:rsid w:val="00E003EE"/>
    <w:rsid w:val="00E01FF5"/>
    <w:rsid w:val="00E04B8C"/>
    <w:rsid w:val="00E06070"/>
    <w:rsid w:val="00E0791E"/>
    <w:rsid w:val="00E07CFF"/>
    <w:rsid w:val="00E113C3"/>
    <w:rsid w:val="00E11AF2"/>
    <w:rsid w:val="00E151A7"/>
    <w:rsid w:val="00E16446"/>
    <w:rsid w:val="00E211D5"/>
    <w:rsid w:val="00E213A3"/>
    <w:rsid w:val="00E2216D"/>
    <w:rsid w:val="00E2727B"/>
    <w:rsid w:val="00E316CF"/>
    <w:rsid w:val="00E320C0"/>
    <w:rsid w:val="00E32AD5"/>
    <w:rsid w:val="00E340EA"/>
    <w:rsid w:val="00E344AB"/>
    <w:rsid w:val="00E37D61"/>
    <w:rsid w:val="00E405D1"/>
    <w:rsid w:val="00E41251"/>
    <w:rsid w:val="00E42E2F"/>
    <w:rsid w:val="00E445AF"/>
    <w:rsid w:val="00E44B9C"/>
    <w:rsid w:val="00E44FE6"/>
    <w:rsid w:val="00E462DC"/>
    <w:rsid w:val="00E46EE1"/>
    <w:rsid w:val="00E50017"/>
    <w:rsid w:val="00E5140B"/>
    <w:rsid w:val="00E52823"/>
    <w:rsid w:val="00E52E63"/>
    <w:rsid w:val="00E555C0"/>
    <w:rsid w:val="00E557F2"/>
    <w:rsid w:val="00E55DEE"/>
    <w:rsid w:val="00E563D3"/>
    <w:rsid w:val="00E566E5"/>
    <w:rsid w:val="00E579B3"/>
    <w:rsid w:val="00E61553"/>
    <w:rsid w:val="00E61FCD"/>
    <w:rsid w:val="00E62835"/>
    <w:rsid w:val="00E6323D"/>
    <w:rsid w:val="00E63321"/>
    <w:rsid w:val="00E63515"/>
    <w:rsid w:val="00E64B78"/>
    <w:rsid w:val="00E6766D"/>
    <w:rsid w:val="00E7051F"/>
    <w:rsid w:val="00E725B4"/>
    <w:rsid w:val="00E739BB"/>
    <w:rsid w:val="00E806B4"/>
    <w:rsid w:val="00E85335"/>
    <w:rsid w:val="00E907DA"/>
    <w:rsid w:val="00E9160D"/>
    <w:rsid w:val="00E96F16"/>
    <w:rsid w:val="00EA6DF0"/>
    <w:rsid w:val="00EB2322"/>
    <w:rsid w:val="00EB4F74"/>
    <w:rsid w:val="00EB703F"/>
    <w:rsid w:val="00EB7D9D"/>
    <w:rsid w:val="00EC0032"/>
    <w:rsid w:val="00EC0807"/>
    <w:rsid w:val="00EC4F62"/>
    <w:rsid w:val="00EC51A2"/>
    <w:rsid w:val="00EC5427"/>
    <w:rsid w:val="00EC54B7"/>
    <w:rsid w:val="00EC77DA"/>
    <w:rsid w:val="00ED081E"/>
    <w:rsid w:val="00ED08EA"/>
    <w:rsid w:val="00ED2E55"/>
    <w:rsid w:val="00ED30E6"/>
    <w:rsid w:val="00ED54E0"/>
    <w:rsid w:val="00ED6575"/>
    <w:rsid w:val="00ED77A4"/>
    <w:rsid w:val="00ED77F2"/>
    <w:rsid w:val="00EE3EA2"/>
    <w:rsid w:val="00EE762B"/>
    <w:rsid w:val="00EF01BB"/>
    <w:rsid w:val="00EF216D"/>
    <w:rsid w:val="00EF2AA4"/>
    <w:rsid w:val="00EF30A8"/>
    <w:rsid w:val="00EF3661"/>
    <w:rsid w:val="00EF4481"/>
    <w:rsid w:val="00EF6A66"/>
    <w:rsid w:val="00F01D20"/>
    <w:rsid w:val="00F02693"/>
    <w:rsid w:val="00F046C5"/>
    <w:rsid w:val="00F05E59"/>
    <w:rsid w:val="00F07A3E"/>
    <w:rsid w:val="00F10B96"/>
    <w:rsid w:val="00F15111"/>
    <w:rsid w:val="00F15779"/>
    <w:rsid w:val="00F174AD"/>
    <w:rsid w:val="00F175B4"/>
    <w:rsid w:val="00F1797B"/>
    <w:rsid w:val="00F17B54"/>
    <w:rsid w:val="00F17CC6"/>
    <w:rsid w:val="00F3082E"/>
    <w:rsid w:val="00F3357E"/>
    <w:rsid w:val="00F34962"/>
    <w:rsid w:val="00F34CF2"/>
    <w:rsid w:val="00F35B61"/>
    <w:rsid w:val="00F41FDA"/>
    <w:rsid w:val="00F445BC"/>
    <w:rsid w:val="00F467BC"/>
    <w:rsid w:val="00F502D2"/>
    <w:rsid w:val="00F51B82"/>
    <w:rsid w:val="00F51D6F"/>
    <w:rsid w:val="00F51FEA"/>
    <w:rsid w:val="00F54B79"/>
    <w:rsid w:val="00F55A19"/>
    <w:rsid w:val="00F56412"/>
    <w:rsid w:val="00F62237"/>
    <w:rsid w:val="00F71321"/>
    <w:rsid w:val="00F71FF5"/>
    <w:rsid w:val="00F72676"/>
    <w:rsid w:val="00F72F2C"/>
    <w:rsid w:val="00F739ED"/>
    <w:rsid w:val="00F73C03"/>
    <w:rsid w:val="00F73C3D"/>
    <w:rsid w:val="00F77DB0"/>
    <w:rsid w:val="00F82488"/>
    <w:rsid w:val="00F862F4"/>
    <w:rsid w:val="00F87349"/>
    <w:rsid w:val="00F87AEB"/>
    <w:rsid w:val="00F87BCF"/>
    <w:rsid w:val="00F914C8"/>
    <w:rsid w:val="00F932F1"/>
    <w:rsid w:val="00F933D7"/>
    <w:rsid w:val="00F93611"/>
    <w:rsid w:val="00F93BDC"/>
    <w:rsid w:val="00F94A98"/>
    <w:rsid w:val="00F96253"/>
    <w:rsid w:val="00F9652A"/>
    <w:rsid w:val="00FA209C"/>
    <w:rsid w:val="00FA367C"/>
    <w:rsid w:val="00FA3C46"/>
    <w:rsid w:val="00FA3D9E"/>
    <w:rsid w:val="00FA4E7A"/>
    <w:rsid w:val="00FA77EA"/>
    <w:rsid w:val="00FB2170"/>
    <w:rsid w:val="00FB2219"/>
    <w:rsid w:val="00FB339C"/>
    <w:rsid w:val="00FB54D3"/>
    <w:rsid w:val="00FB7308"/>
    <w:rsid w:val="00FB7F6F"/>
    <w:rsid w:val="00FC0035"/>
    <w:rsid w:val="00FC32E4"/>
    <w:rsid w:val="00FC5040"/>
    <w:rsid w:val="00FC7FE8"/>
    <w:rsid w:val="00FD09A9"/>
    <w:rsid w:val="00FD0C9C"/>
    <w:rsid w:val="00FD1D3C"/>
    <w:rsid w:val="00FD2F21"/>
    <w:rsid w:val="00FD2FE4"/>
    <w:rsid w:val="00FD3CE2"/>
    <w:rsid w:val="00FD6EB1"/>
    <w:rsid w:val="00FE07EF"/>
    <w:rsid w:val="00FE1CC2"/>
    <w:rsid w:val="00FE5C93"/>
    <w:rsid w:val="00FE65F1"/>
    <w:rsid w:val="00FE6A3C"/>
    <w:rsid w:val="00FE72A3"/>
    <w:rsid w:val="00FF00A0"/>
    <w:rsid w:val="00FF0FB7"/>
    <w:rsid w:val="00FF228F"/>
    <w:rsid w:val="00FF4467"/>
    <w:rsid w:val="00FF4BC1"/>
    <w:rsid w:val="01015BA5"/>
    <w:rsid w:val="0113229C"/>
    <w:rsid w:val="014C7EC2"/>
    <w:rsid w:val="01773BEA"/>
    <w:rsid w:val="017C20B9"/>
    <w:rsid w:val="017C45FD"/>
    <w:rsid w:val="017D6D2A"/>
    <w:rsid w:val="01891F4E"/>
    <w:rsid w:val="018A4C50"/>
    <w:rsid w:val="01932959"/>
    <w:rsid w:val="0196206A"/>
    <w:rsid w:val="01C10F7A"/>
    <w:rsid w:val="01CA6674"/>
    <w:rsid w:val="01CB6DF9"/>
    <w:rsid w:val="01E66FE5"/>
    <w:rsid w:val="0210110D"/>
    <w:rsid w:val="02377994"/>
    <w:rsid w:val="02512922"/>
    <w:rsid w:val="025651F1"/>
    <w:rsid w:val="02681FC8"/>
    <w:rsid w:val="02731A2F"/>
    <w:rsid w:val="02784940"/>
    <w:rsid w:val="02976C53"/>
    <w:rsid w:val="029F6607"/>
    <w:rsid w:val="02AB49DD"/>
    <w:rsid w:val="02C61E35"/>
    <w:rsid w:val="02D01125"/>
    <w:rsid w:val="02D368D7"/>
    <w:rsid w:val="02D96626"/>
    <w:rsid w:val="02DD18D6"/>
    <w:rsid w:val="02DF3578"/>
    <w:rsid w:val="02FE5C62"/>
    <w:rsid w:val="02FF5126"/>
    <w:rsid w:val="032A1667"/>
    <w:rsid w:val="032C79D4"/>
    <w:rsid w:val="03427705"/>
    <w:rsid w:val="037716A3"/>
    <w:rsid w:val="037B3492"/>
    <w:rsid w:val="038F24F3"/>
    <w:rsid w:val="039A3EBF"/>
    <w:rsid w:val="03BE3BDF"/>
    <w:rsid w:val="03CA1A73"/>
    <w:rsid w:val="03CD1D96"/>
    <w:rsid w:val="03D83625"/>
    <w:rsid w:val="03DC603A"/>
    <w:rsid w:val="03DC7B8E"/>
    <w:rsid w:val="03E52B38"/>
    <w:rsid w:val="03EF68F5"/>
    <w:rsid w:val="03F41F7F"/>
    <w:rsid w:val="040340DB"/>
    <w:rsid w:val="041674A2"/>
    <w:rsid w:val="04173449"/>
    <w:rsid w:val="04190292"/>
    <w:rsid w:val="042E0D71"/>
    <w:rsid w:val="042E62D5"/>
    <w:rsid w:val="04364453"/>
    <w:rsid w:val="04367F66"/>
    <w:rsid w:val="04375574"/>
    <w:rsid w:val="04375E24"/>
    <w:rsid w:val="04382999"/>
    <w:rsid w:val="04736C74"/>
    <w:rsid w:val="048E4C3F"/>
    <w:rsid w:val="04A43B4B"/>
    <w:rsid w:val="04C00768"/>
    <w:rsid w:val="04C74DAA"/>
    <w:rsid w:val="04C9435B"/>
    <w:rsid w:val="04CB5CC7"/>
    <w:rsid w:val="04DE5D78"/>
    <w:rsid w:val="050B60FF"/>
    <w:rsid w:val="05271DD8"/>
    <w:rsid w:val="052E7ED5"/>
    <w:rsid w:val="053C1D44"/>
    <w:rsid w:val="055B1CD0"/>
    <w:rsid w:val="0567389B"/>
    <w:rsid w:val="0569552D"/>
    <w:rsid w:val="058C626A"/>
    <w:rsid w:val="05BB2945"/>
    <w:rsid w:val="05F02615"/>
    <w:rsid w:val="05F35352"/>
    <w:rsid w:val="06472F80"/>
    <w:rsid w:val="066402F0"/>
    <w:rsid w:val="066E2DA0"/>
    <w:rsid w:val="068A0AD9"/>
    <w:rsid w:val="06A95DE3"/>
    <w:rsid w:val="06BA4C82"/>
    <w:rsid w:val="06E0572E"/>
    <w:rsid w:val="06E42E5D"/>
    <w:rsid w:val="07225916"/>
    <w:rsid w:val="07277FAA"/>
    <w:rsid w:val="0767271E"/>
    <w:rsid w:val="07834B45"/>
    <w:rsid w:val="07870051"/>
    <w:rsid w:val="079347E3"/>
    <w:rsid w:val="07952D90"/>
    <w:rsid w:val="079A1368"/>
    <w:rsid w:val="07AB6D5A"/>
    <w:rsid w:val="07BB33B9"/>
    <w:rsid w:val="07C60ADC"/>
    <w:rsid w:val="07C64F27"/>
    <w:rsid w:val="07C926AD"/>
    <w:rsid w:val="07F50A10"/>
    <w:rsid w:val="07FE0574"/>
    <w:rsid w:val="080C3D82"/>
    <w:rsid w:val="08101FC1"/>
    <w:rsid w:val="081C6B4A"/>
    <w:rsid w:val="082F0539"/>
    <w:rsid w:val="08785F16"/>
    <w:rsid w:val="087B6ECF"/>
    <w:rsid w:val="08B50AE4"/>
    <w:rsid w:val="08B70F4F"/>
    <w:rsid w:val="08C21D2A"/>
    <w:rsid w:val="08E03DD9"/>
    <w:rsid w:val="08E77334"/>
    <w:rsid w:val="08F74998"/>
    <w:rsid w:val="090C5966"/>
    <w:rsid w:val="09262588"/>
    <w:rsid w:val="09273E3B"/>
    <w:rsid w:val="0947287C"/>
    <w:rsid w:val="095C5B5F"/>
    <w:rsid w:val="09666D67"/>
    <w:rsid w:val="0997772B"/>
    <w:rsid w:val="099F0A8E"/>
    <w:rsid w:val="09AE36E7"/>
    <w:rsid w:val="09BD4C17"/>
    <w:rsid w:val="09E1024B"/>
    <w:rsid w:val="09E14B57"/>
    <w:rsid w:val="09E671C6"/>
    <w:rsid w:val="09E933E5"/>
    <w:rsid w:val="0A1674CB"/>
    <w:rsid w:val="0A234A34"/>
    <w:rsid w:val="0A2D463F"/>
    <w:rsid w:val="0A2F0354"/>
    <w:rsid w:val="0A4D265F"/>
    <w:rsid w:val="0A65311B"/>
    <w:rsid w:val="0A65388D"/>
    <w:rsid w:val="0A6752B5"/>
    <w:rsid w:val="0A7654E2"/>
    <w:rsid w:val="0A7A0722"/>
    <w:rsid w:val="0A7F522E"/>
    <w:rsid w:val="0A8C55F4"/>
    <w:rsid w:val="0A8F5BEB"/>
    <w:rsid w:val="0AB20AA4"/>
    <w:rsid w:val="0ADC22AB"/>
    <w:rsid w:val="0B0F1C0E"/>
    <w:rsid w:val="0B3813D2"/>
    <w:rsid w:val="0B521405"/>
    <w:rsid w:val="0B765A50"/>
    <w:rsid w:val="0B84338B"/>
    <w:rsid w:val="0B8C6A4E"/>
    <w:rsid w:val="0B9C2898"/>
    <w:rsid w:val="0BAC1E15"/>
    <w:rsid w:val="0BC627B4"/>
    <w:rsid w:val="0BD04438"/>
    <w:rsid w:val="0BDF05F2"/>
    <w:rsid w:val="0BFC1FD2"/>
    <w:rsid w:val="0BFF06E1"/>
    <w:rsid w:val="0C21493E"/>
    <w:rsid w:val="0C444ADB"/>
    <w:rsid w:val="0C445DE4"/>
    <w:rsid w:val="0C5909FE"/>
    <w:rsid w:val="0C643ADF"/>
    <w:rsid w:val="0C6645EA"/>
    <w:rsid w:val="0C673477"/>
    <w:rsid w:val="0C9078CD"/>
    <w:rsid w:val="0C99248D"/>
    <w:rsid w:val="0C9C210C"/>
    <w:rsid w:val="0CD91BBD"/>
    <w:rsid w:val="0D1755A2"/>
    <w:rsid w:val="0D364327"/>
    <w:rsid w:val="0D482499"/>
    <w:rsid w:val="0D492290"/>
    <w:rsid w:val="0D77126E"/>
    <w:rsid w:val="0D830918"/>
    <w:rsid w:val="0D8675C7"/>
    <w:rsid w:val="0D943472"/>
    <w:rsid w:val="0D943631"/>
    <w:rsid w:val="0DB519DD"/>
    <w:rsid w:val="0DF15CF4"/>
    <w:rsid w:val="0DF247ED"/>
    <w:rsid w:val="0E14388A"/>
    <w:rsid w:val="0E1C2B19"/>
    <w:rsid w:val="0E272AB0"/>
    <w:rsid w:val="0E4A4E49"/>
    <w:rsid w:val="0E66622E"/>
    <w:rsid w:val="0E7B4ECE"/>
    <w:rsid w:val="0E824947"/>
    <w:rsid w:val="0E8A0E75"/>
    <w:rsid w:val="0E9D6E34"/>
    <w:rsid w:val="0EAA2A48"/>
    <w:rsid w:val="0EAD1F03"/>
    <w:rsid w:val="0EB64ABA"/>
    <w:rsid w:val="0EC4550D"/>
    <w:rsid w:val="0ECB0770"/>
    <w:rsid w:val="0EE00815"/>
    <w:rsid w:val="0F01005E"/>
    <w:rsid w:val="0F0C433F"/>
    <w:rsid w:val="0F0D09AC"/>
    <w:rsid w:val="0F3D7970"/>
    <w:rsid w:val="0F49129B"/>
    <w:rsid w:val="0F5C378C"/>
    <w:rsid w:val="0F7E6ADD"/>
    <w:rsid w:val="0F8B2D6F"/>
    <w:rsid w:val="0F8E5AA3"/>
    <w:rsid w:val="0FB410B6"/>
    <w:rsid w:val="0FBD1AE6"/>
    <w:rsid w:val="0FC83577"/>
    <w:rsid w:val="0FFC6EC0"/>
    <w:rsid w:val="100321DD"/>
    <w:rsid w:val="100F3802"/>
    <w:rsid w:val="104D4F38"/>
    <w:rsid w:val="1054533F"/>
    <w:rsid w:val="10893CF9"/>
    <w:rsid w:val="1095244F"/>
    <w:rsid w:val="10957A50"/>
    <w:rsid w:val="109C5E08"/>
    <w:rsid w:val="10A65FDC"/>
    <w:rsid w:val="10B00AA7"/>
    <w:rsid w:val="10B5607C"/>
    <w:rsid w:val="10B62649"/>
    <w:rsid w:val="10B83202"/>
    <w:rsid w:val="10BF0E2D"/>
    <w:rsid w:val="10BF20F5"/>
    <w:rsid w:val="10C0223A"/>
    <w:rsid w:val="10C72EA1"/>
    <w:rsid w:val="10CC395B"/>
    <w:rsid w:val="10D63BE2"/>
    <w:rsid w:val="10E91BBF"/>
    <w:rsid w:val="10FA4CBE"/>
    <w:rsid w:val="110A21F4"/>
    <w:rsid w:val="110E7FD2"/>
    <w:rsid w:val="111D1CED"/>
    <w:rsid w:val="111E09CB"/>
    <w:rsid w:val="113219ED"/>
    <w:rsid w:val="11376110"/>
    <w:rsid w:val="114317DF"/>
    <w:rsid w:val="11491C95"/>
    <w:rsid w:val="114F7A12"/>
    <w:rsid w:val="115D1F4E"/>
    <w:rsid w:val="115F6247"/>
    <w:rsid w:val="11630587"/>
    <w:rsid w:val="11646FE2"/>
    <w:rsid w:val="11EC2744"/>
    <w:rsid w:val="121E2E50"/>
    <w:rsid w:val="121F7D29"/>
    <w:rsid w:val="1224022D"/>
    <w:rsid w:val="123B601F"/>
    <w:rsid w:val="124F4BA1"/>
    <w:rsid w:val="12546D45"/>
    <w:rsid w:val="125741C6"/>
    <w:rsid w:val="125C68E1"/>
    <w:rsid w:val="126333CE"/>
    <w:rsid w:val="12634010"/>
    <w:rsid w:val="12717654"/>
    <w:rsid w:val="12933052"/>
    <w:rsid w:val="12945152"/>
    <w:rsid w:val="12D578C4"/>
    <w:rsid w:val="12EF58EE"/>
    <w:rsid w:val="12F0501F"/>
    <w:rsid w:val="12F52EB7"/>
    <w:rsid w:val="12FA26C9"/>
    <w:rsid w:val="12FC052F"/>
    <w:rsid w:val="12FF1C00"/>
    <w:rsid w:val="130B15BB"/>
    <w:rsid w:val="130D7242"/>
    <w:rsid w:val="131A3C05"/>
    <w:rsid w:val="13345BFB"/>
    <w:rsid w:val="1334633A"/>
    <w:rsid w:val="1345726F"/>
    <w:rsid w:val="134F0B1F"/>
    <w:rsid w:val="13546E2A"/>
    <w:rsid w:val="13557E19"/>
    <w:rsid w:val="135C7A07"/>
    <w:rsid w:val="135D4426"/>
    <w:rsid w:val="13603A97"/>
    <w:rsid w:val="1361370E"/>
    <w:rsid w:val="13833052"/>
    <w:rsid w:val="13980B02"/>
    <w:rsid w:val="13A601D2"/>
    <w:rsid w:val="13A816F2"/>
    <w:rsid w:val="13C11C5C"/>
    <w:rsid w:val="13ED697E"/>
    <w:rsid w:val="13FB5C0E"/>
    <w:rsid w:val="14086B97"/>
    <w:rsid w:val="14101345"/>
    <w:rsid w:val="142D2192"/>
    <w:rsid w:val="14325529"/>
    <w:rsid w:val="14376E2B"/>
    <w:rsid w:val="143C3E3A"/>
    <w:rsid w:val="1450474C"/>
    <w:rsid w:val="145118D2"/>
    <w:rsid w:val="14515B3C"/>
    <w:rsid w:val="14536701"/>
    <w:rsid w:val="14604856"/>
    <w:rsid w:val="1476056E"/>
    <w:rsid w:val="147D7CF4"/>
    <w:rsid w:val="14857B40"/>
    <w:rsid w:val="14987DC2"/>
    <w:rsid w:val="149E0064"/>
    <w:rsid w:val="149E7DF5"/>
    <w:rsid w:val="14A03C38"/>
    <w:rsid w:val="14AF03AD"/>
    <w:rsid w:val="152A7295"/>
    <w:rsid w:val="153E7D61"/>
    <w:rsid w:val="15924650"/>
    <w:rsid w:val="15A8148A"/>
    <w:rsid w:val="15AF0EAE"/>
    <w:rsid w:val="15C4325E"/>
    <w:rsid w:val="15CE3397"/>
    <w:rsid w:val="15D12DBD"/>
    <w:rsid w:val="15E9042F"/>
    <w:rsid w:val="15E96D4A"/>
    <w:rsid w:val="15F0617A"/>
    <w:rsid w:val="160241ED"/>
    <w:rsid w:val="160B5818"/>
    <w:rsid w:val="16103C0B"/>
    <w:rsid w:val="163417BC"/>
    <w:rsid w:val="163A5B7E"/>
    <w:rsid w:val="16445EEF"/>
    <w:rsid w:val="1659215D"/>
    <w:rsid w:val="166A5104"/>
    <w:rsid w:val="166B47DF"/>
    <w:rsid w:val="166E6867"/>
    <w:rsid w:val="16917074"/>
    <w:rsid w:val="169952C2"/>
    <w:rsid w:val="169B2BE9"/>
    <w:rsid w:val="16A71930"/>
    <w:rsid w:val="16B95B3D"/>
    <w:rsid w:val="16BD22AF"/>
    <w:rsid w:val="16C4050D"/>
    <w:rsid w:val="16C63C0E"/>
    <w:rsid w:val="16CF46D7"/>
    <w:rsid w:val="16CF62C5"/>
    <w:rsid w:val="16E82620"/>
    <w:rsid w:val="16EA29C7"/>
    <w:rsid w:val="17030A92"/>
    <w:rsid w:val="17162428"/>
    <w:rsid w:val="17244FE4"/>
    <w:rsid w:val="17251785"/>
    <w:rsid w:val="17477F2F"/>
    <w:rsid w:val="17525A8F"/>
    <w:rsid w:val="17555CEE"/>
    <w:rsid w:val="175B0075"/>
    <w:rsid w:val="175D0F47"/>
    <w:rsid w:val="1776390A"/>
    <w:rsid w:val="17801709"/>
    <w:rsid w:val="17876284"/>
    <w:rsid w:val="178F6135"/>
    <w:rsid w:val="17962D5E"/>
    <w:rsid w:val="179C2A7F"/>
    <w:rsid w:val="17C07A8E"/>
    <w:rsid w:val="17C75AE4"/>
    <w:rsid w:val="17D51CFD"/>
    <w:rsid w:val="17E31291"/>
    <w:rsid w:val="17E33FC6"/>
    <w:rsid w:val="17E51FE6"/>
    <w:rsid w:val="17F6773F"/>
    <w:rsid w:val="18150A98"/>
    <w:rsid w:val="18253A30"/>
    <w:rsid w:val="18403564"/>
    <w:rsid w:val="18405597"/>
    <w:rsid w:val="18527910"/>
    <w:rsid w:val="18617158"/>
    <w:rsid w:val="186350DF"/>
    <w:rsid w:val="18756BA8"/>
    <w:rsid w:val="187B5E2B"/>
    <w:rsid w:val="1880657D"/>
    <w:rsid w:val="188D7597"/>
    <w:rsid w:val="189F21F8"/>
    <w:rsid w:val="18A534E8"/>
    <w:rsid w:val="18A740BF"/>
    <w:rsid w:val="18B8268D"/>
    <w:rsid w:val="18BC0234"/>
    <w:rsid w:val="18C35EF8"/>
    <w:rsid w:val="18CA04DE"/>
    <w:rsid w:val="18CB6423"/>
    <w:rsid w:val="18D51479"/>
    <w:rsid w:val="18DA5615"/>
    <w:rsid w:val="18EE5320"/>
    <w:rsid w:val="191F4D59"/>
    <w:rsid w:val="19260177"/>
    <w:rsid w:val="192F73F3"/>
    <w:rsid w:val="193917A3"/>
    <w:rsid w:val="194E029A"/>
    <w:rsid w:val="19693252"/>
    <w:rsid w:val="1973639B"/>
    <w:rsid w:val="19785DDD"/>
    <w:rsid w:val="197F230D"/>
    <w:rsid w:val="1992110B"/>
    <w:rsid w:val="19995152"/>
    <w:rsid w:val="199B3229"/>
    <w:rsid w:val="199E4A75"/>
    <w:rsid w:val="199F6B77"/>
    <w:rsid w:val="19A03190"/>
    <w:rsid w:val="19CF2188"/>
    <w:rsid w:val="19D405E2"/>
    <w:rsid w:val="19D82394"/>
    <w:rsid w:val="19E9123D"/>
    <w:rsid w:val="19F01713"/>
    <w:rsid w:val="1A1E2E95"/>
    <w:rsid w:val="1A224370"/>
    <w:rsid w:val="1A5360C8"/>
    <w:rsid w:val="1A7E4E9C"/>
    <w:rsid w:val="1A915671"/>
    <w:rsid w:val="1AB8471D"/>
    <w:rsid w:val="1AD61C46"/>
    <w:rsid w:val="1AFF2D10"/>
    <w:rsid w:val="1B110414"/>
    <w:rsid w:val="1B130A60"/>
    <w:rsid w:val="1B1748D6"/>
    <w:rsid w:val="1B220CBF"/>
    <w:rsid w:val="1B270528"/>
    <w:rsid w:val="1B287E22"/>
    <w:rsid w:val="1B3A1BF2"/>
    <w:rsid w:val="1B3C0B5F"/>
    <w:rsid w:val="1B3C247B"/>
    <w:rsid w:val="1B427B1F"/>
    <w:rsid w:val="1B4C3B36"/>
    <w:rsid w:val="1B714E61"/>
    <w:rsid w:val="1B7E413E"/>
    <w:rsid w:val="1B7F72F6"/>
    <w:rsid w:val="1B8247CB"/>
    <w:rsid w:val="1B9339C4"/>
    <w:rsid w:val="1BC26678"/>
    <w:rsid w:val="1BEF1383"/>
    <w:rsid w:val="1BF825D7"/>
    <w:rsid w:val="1C155581"/>
    <w:rsid w:val="1C1861D5"/>
    <w:rsid w:val="1C220C3D"/>
    <w:rsid w:val="1C2D3D5C"/>
    <w:rsid w:val="1C446C7F"/>
    <w:rsid w:val="1C4C6E2A"/>
    <w:rsid w:val="1CB877F6"/>
    <w:rsid w:val="1CC62403"/>
    <w:rsid w:val="1CD00AC0"/>
    <w:rsid w:val="1CD94780"/>
    <w:rsid w:val="1CF62479"/>
    <w:rsid w:val="1CF848FB"/>
    <w:rsid w:val="1D00008A"/>
    <w:rsid w:val="1D0A7FBA"/>
    <w:rsid w:val="1D327869"/>
    <w:rsid w:val="1D4808CE"/>
    <w:rsid w:val="1D602DF7"/>
    <w:rsid w:val="1D643BAE"/>
    <w:rsid w:val="1D6608B7"/>
    <w:rsid w:val="1DBC2D62"/>
    <w:rsid w:val="1DBE319F"/>
    <w:rsid w:val="1DDB6604"/>
    <w:rsid w:val="1DF018F9"/>
    <w:rsid w:val="1DF419E1"/>
    <w:rsid w:val="1DFD2FEA"/>
    <w:rsid w:val="1E1E5016"/>
    <w:rsid w:val="1E260298"/>
    <w:rsid w:val="1E2F4479"/>
    <w:rsid w:val="1E321449"/>
    <w:rsid w:val="1E4C08D3"/>
    <w:rsid w:val="1E5C14E4"/>
    <w:rsid w:val="1E7505FF"/>
    <w:rsid w:val="1E883508"/>
    <w:rsid w:val="1E8E60F8"/>
    <w:rsid w:val="1EA20980"/>
    <w:rsid w:val="1EA466A0"/>
    <w:rsid w:val="1EAF6B81"/>
    <w:rsid w:val="1EB12AA7"/>
    <w:rsid w:val="1EC47676"/>
    <w:rsid w:val="1ECF68F7"/>
    <w:rsid w:val="1EDE534C"/>
    <w:rsid w:val="1EE0332E"/>
    <w:rsid w:val="1EE553D4"/>
    <w:rsid w:val="1EE7526A"/>
    <w:rsid w:val="1EEA52E3"/>
    <w:rsid w:val="1EFC0C42"/>
    <w:rsid w:val="1EFE09E5"/>
    <w:rsid w:val="1F0A2E80"/>
    <w:rsid w:val="1F196F54"/>
    <w:rsid w:val="1F1A6FCC"/>
    <w:rsid w:val="1F1D3980"/>
    <w:rsid w:val="1F1E1F81"/>
    <w:rsid w:val="1F2557E0"/>
    <w:rsid w:val="1F35602C"/>
    <w:rsid w:val="1F52743E"/>
    <w:rsid w:val="1F592DE3"/>
    <w:rsid w:val="1F676A76"/>
    <w:rsid w:val="1F8F2423"/>
    <w:rsid w:val="1F9C1FD4"/>
    <w:rsid w:val="1FB96909"/>
    <w:rsid w:val="1FC65F8F"/>
    <w:rsid w:val="1FC9774D"/>
    <w:rsid w:val="1FCB312B"/>
    <w:rsid w:val="1FDC0A95"/>
    <w:rsid w:val="1FE77B8D"/>
    <w:rsid w:val="200D107A"/>
    <w:rsid w:val="200E4506"/>
    <w:rsid w:val="201E14AA"/>
    <w:rsid w:val="202B35AD"/>
    <w:rsid w:val="202E192E"/>
    <w:rsid w:val="205010B1"/>
    <w:rsid w:val="206A1CF0"/>
    <w:rsid w:val="20927B96"/>
    <w:rsid w:val="209C2F65"/>
    <w:rsid w:val="20A068E8"/>
    <w:rsid w:val="20AA7886"/>
    <w:rsid w:val="20B54DEF"/>
    <w:rsid w:val="20BB4F79"/>
    <w:rsid w:val="20C03FE5"/>
    <w:rsid w:val="20C71AA1"/>
    <w:rsid w:val="20E26E7E"/>
    <w:rsid w:val="20E53702"/>
    <w:rsid w:val="20F07062"/>
    <w:rsid w:val="20F13213"/>
    <w:rsid w:val="21075726"/>
    <w:rsid w:val="211713F0"/>
    <w:rsid w:val="211B233B"/>
    <w:rsid w:val="2131208D"/>
    <w:rsid w:val="21433F0E"/>
    <w:rsid w:val="21456F12"/>
    <w:rsid w:val="214A76DB"/>
    <w:rsid w:val="21501EDF"/>
    <w:rsid w:val="21690A71"/>
    <w:rsid w:val="216E782D"/>
    <w:rsid w:val="21710ABB"/>
    <w:rsid w:val="2171587B"/>
    <w:rsid w:val="21721580"/>
    <w:rsid w:val="21750C79"/>
    <w:rsid w:val="217F0B19"/>
    <w:rsid w:val="219D3D9D"/>
    <w:rsid w:val="21B651A2"/>
    <w:rsid w:val="21C23150"/>
    <w:rsid w:val="21C70462"/>
    <w:rsid w:val="21D23205"/>
    <w:rsid w:val="21D621DF"/>
    <w:rsid w:val="21E121F6"/>
    <w:rsid w:val="21FC7874"/>
    <w:rsid w:val="22006D16"/>
    <w:rsid w:val="22007487"/>
    <w:rsid w:val="220236AA"/>
    <w:rsid w:val="221545C0"/>
    <w:rsid w:val="221F0D91"/>
    <w:rsid w:val="221F32DA"/>
    <w:rsid w:val="22231394"/>
    <w:rsid w:val="22300FE0"/>
    <w:rsid w:val="223A7312"/>
    <w:rsid w:val="224F4106"/>
    <w:rsid w:val="225020E6"/>
    <w:rsid w:val="2265687D"/>
    <w:rsid w:val="22657274"/>
    <w:rsid w:val="227010E9"/>
    <w:rsid w:val="22762E9B"/>
    <w:rsid w:val="228C21FC"/>
    <w:rsid w:val="228E7425"/>
    <w:rsid w:val="22B94E52"/>
    <w:rsid w:val="22C10F18"/>
    <w:rsid w:val="22C36EA8"/>
    <w:rsid w:val="22D76DAC"/>
    <w:rsid w:val="2309583E"/>
    <w:rsid w:val="232730D7"/>
    <w:rsid w:val="233154C8"/>
    <w:rsid w:val="233E3DE0"/>
    <w:rsid w:val="23407D2B"/>
    <w:rsid w:val="23545C09"/>
    <w:rsid w:val="237A4A4F"/>
    <w:rsid w:val="238403D7"/>
    <w:rsid w:val="23917F18"/>
    <w:rsid w:val="239559E9"/>
    <w:rsid w:val="239C17E1"/>
    <w:rsid w:val="23A03C37"/>
    <w:rsid w:val="23A92EAF"/>
    <w:rsid w:val="23BC62D7"/>
    <w:rsid w:val="23F372C7"/>
    <w:rsid w:val="23FC7833"/>
    <w:rsid w:val="240C6E28"/>
    <w:rsid w:val="2419695D"/>
    <w:rsid w:val="24245D81"/>
    <w:rsid w:val="242D6C63"/>
    <w:rsid w:val="24412EC6"/>
    <w:rsid w:val="2449376A"/>
    <w:rsid w:val="2453648E"/>
    <w:rsid w:val="2454560B"/>
    <w:rsid w:val="24634507"/>
    <w:rsid w:val="24940CDB"/>
    <w:rsid w:val="24A2482A"/>
    <w:rsid w:val="24A8380E"/>
    <w:rsid w:val="24AA03BE"/>
    <w:rsid w:val="24CD1E8B"/>
    <w:rsid w:val="24D019B8"/>
    <w:rsid w:val="25373368"/>
    <w:rsid w:val="25582D6E"/>
    <w:rsid w:val="255B5994"/>
    <w:rsid w:val="25B55D97"/>
    <w:rsid w:val="25CB53AE"/>
    <w:rsid w:val="25D37229"/>
    <w:rsid w:val="25D7452C"/>
    <w:rsid w:val="25DB589A"/>
    <w:rsid w:val="25E4353A"/>
    <w:rsid w:val="25E53761"/>
    <w:rsid w:val="25E7284F"/>
    <w:rsid w:val="25FE2910"/>
    <w:rsid w:val="26021055"/>
    <w:rsid w:val="2626118C"/>
    <w:rsid w:val="26317268"/>
    <w:rsid w:val="26440D74"/>
    <w:rsid w:val="265E068E"/>
    <w:rsid w:val="266300FE"/>
    <w:rsid w:val="267A3C0A"/>
    <w:rsid w:val="268B1974"/>
    <w:rsid w:val="26B07129"/>
    <w:rsid w:val="26BE794C"/>
    <w:rsid w:val="26C849E0"/>
    <w:rsid w:val="26D4729A"/>
    <w:rsid w:val="26F66917"/>
    <w:rsid w:val="2700399E"/>
    <w:rsid w:val="271747EF"/>
    <w:rsid w:val="27364A99"/>
    <w:rsid w:val="274F30F3"/>
    <w:rsid w:val="27592CFD"/>
    <w:rsid w:val="275B2BEC"/>
    <w:rsid w:val="275E2851"/>
    <w:rsid w:val="276D4A1F"/>
    <w:rsid w:val="277117C2"/>
    <w:rsid w:val="278555C4"/>
    <w:rsid w:val="27AB3817"/>
    <w:rsid w:val="27D1193D"/>
    <w:rsid w:val="27D66D89"/>
    <w:rsid w:val="27EB53FE"/>
    <w:rsid w:val="27ED333E"/>
    <w:rsid w:val="281B5555"/>
    <w:rsid w:val="285B041F"/>
    <w:rsid w:val="286577BA"/>
    <w:rsid w:val="28723C2D"/>
    <w:rsid w:val="287636CF"/>
    <w:rsid w:val="2878442C"/>
    <w:rsid w:val="287E1D1E"/>
    <w:rsid w:val="2887788B"/>
    <w:rsid w:val="289137A9"/>
    <w:rsid w:val="28952CE3"/>
    <w:rsid w:val="28BD4301"/>
    <w:rsid w:val="28C2539C"/>
    <w:rsid w:val="28D2631E"/>
    <w:rsid w:val="28D958EB"/>
    <w:rsid w:val="28E23DFD"/>
    <w:rsid w:val="28E41F8A"/>
    <w:rsid w:val="29034348"/>
    <w:rsid w:val="292E418B"/>
    <w:rsid w:val="29353404"/>
    <w:rsid w:val="29440AB1"/>
    <w:rsid w:val="294D44A6"/>
    <w:rsid w:val="29723628"/>
    <w:rsid w:val="297D75E2"/>
    <w:rsid w:val="29946377"/>
    <w:rsid w:val="29A371C3"/>
    <w:rsid w:val="29DE19E2"/>
    <w:rsid w:val="29EA0723"/>
    <w:rsid w:val="29FA38CF"/>
    <w:rsid w:val="29FB0065"/>
    <w:rsid w:val="2A607D28"/>
    <w:rsid w:val="2A6F0FE9"/>
    <w:rsid w:val="2A761795"/>
    <w:rsid w:val="2AA4146F"/>
    <w:rsid w:val="2AA641B5"/>
    <w:rsid w:val="2AB231D7"/>
    <w:rsid w:val="2AD42C18"/>
    <w:rsid w:val="2AD57E94"/>
    <w:rsid w:val="2AD71FCD"/>
    <w:rsid w:val="2AF87E7B"/>
    <w:rsid w:val="2B0123C9"/>
    <w:rsid w:val="2B0D5261"/>
    <w:rsid w:val="2B1320EF"/>
    <w:rsid w:val="2B271DB0"/>
    <w:rsid w:val="2B3D22D1"/>
    <w:rsid w:val="2B5820CD"/>
    <w:rsid w:val="2B595EB7"/>
    <w:rsid w:val="2B6E3970"/>
    <w:rsid w:val="2B78372D"/>
    <w:rsid w:val="2B8275EF"/>
    <w:rsid w:val="2B8C769F"/>
    <w:rsid w:val="2B946A87"/>
    <w:rsid w:val="2BD01DCA"/>
    <w:rsid w:val="2BE74B35"/>
    <w:rsid w:val="2C124E93"/>
    <w:rsid w:val="2C133754"/>
    <w:rsid w:val="2C3E24B0"/>
    <w:rsid w:val="2C5173A9"/>
    <w:rsid w:val="2C5F0FC5"/>
    <w:rsid w:val="2C71714F"/>
    <w:rsid w:val="2C7E64F2"/>
    <w:rsid w:val="2CA14DE5"/>
    <w:rsid w:val="2CD31AF8"/>
    <w:rsid w:val="2CE43C31"/>
    <w:rsid w:val="2CF10257"/>
    <w:rsid w:val="2CF45B14"/>
    <w:rsid w:val="2D096355"/>
    <w:rsid w:val="2D15607D"/>
    <w:rsid w:val="2D213FEA"/>
    <w:rsid w:val="2D2B4C74"/>
    <w:rsid w:val="2D3F3EFA"/>
    <w:rsid w:val="2D450E85"/>
    <w:rsid w:val="2D6C347D"/>
    <w:rsid w:val="2D6E26BF"/>
    <w:rsid w:val="2D8D3B76"/>
    <w:rsid w:val="2DA61AC7"/>
    <w:rsid w:val="2DB761BF"/>
    <w:rsid w:val="2DBF75DA"/>
    <w:rsid w:val="2DCA12E5"/>
    <w:rsid w:val="2DD179CE"/>
    <w:rsid w:val="2DE76DDA"/>
    <w:rsid w:val="2E094FE3"/>
    <w:rsid w:val="2E1E2B5E"/>
    <w:rsid w:val="2E235522"/>
    <w:rsid w:val="2E27423C"/>
    <w:rsid w:val="2E311CB2"/>
    <w:rsid w:val="2E3E2F60"/>
    <w:rsid w:val="2E983197"/>
    <w:rsid w:val="2EA62256"/>
    <w:rsid w:val="2EA71CED"/>
    <w:rsid w:val="2EAA178D"/>
    <w:rsid w:val="2EB958E5"/>
    <w:rsid w:val="2ED22E50"/>
    <w:rsid w:val="2ED432E8"/>
    <w:rsid w:val="2ED53649"/>
    <w:rsid w:val="2ED85301"/>
    <w:rsid w:val="2EDB7C4E"/>
    <w:rsid w:val="2EE3794C"/>
    <w:rsid w:val="2EED5E40"/>
    <w:rsid w:val="2F0C6C2F"/>
    <w:rsid w:val="2F194589"/>
    <w:rsid w:val="2F3C3A67"/>
    <w:rsid w:val="2F3D02F6"/>
    <w:rsid w:val="2F436FC3"/>
    <w:rsid w:val="2F567A85"/>
    <w:rsid w:val="2FAC0A04"/>
    <w:rsid w:val="2FB01F98"/>
    <w:rsid w:val="2FB438B2"/>
    <w:rsid w:val="2FCC5F0F"/>
    <w:rsid w:val="2FCC7C60"/>
    <w:rsid w:val="2FD60C2E"/>
    <w:rsid w:val="2FD73C95"/>
    <w:rsid w:val="2FD93A8C"/>
    <w:rsid w:val="2FF86DC4"/>
    <w:rsid w:val="30014CC5"/>
    <w:rsid w:val="3003623F"/>
    <w:rsid w:val="302214ED"/>
    <w:rsid w:val="302C2A95"/>
    <w:rsid w:val="305D74CD"/>
    <w:rsid w:val="306C362C"/>
    <w:rsid w:val="30783572"/>
    <w:rsid w:val="308106EF"/>
    <w:rsid w:val="308779DD"/>
    <w:rsid w:val="30B01D6B"/>
    <w:rsid w:val="30B22F47"/>
    <w:rsid w:val="30C5743F"/>
    <w:rsid w:val="30C82070"/>
    <w:rsid w:val="30CD301F"/>
    <w:rsid w:val="30CE7BB1"/>
    <w:rsid w:val="30D15B6B"/>
    <w:rsid w:val="30E214F1"/>
    <w:rsid w:val="30F51723"/>
    <w:rsid w:val="30F60CE7"/>
    <w:rsid w:val="30F729BF"/>
    <w:rsid w:val="30FD12BD"/>
    <w:rsid w:val="310C1CC9"/>
    <w:rsid w:val="31116FCC"/>
    <w:rsid w:val="311413C1"/>
    <w:rsid w:val="313E6103"/>
    <w:rsid w:val="31474F8C"/>
    <w:rsid w:val="31561C71"/>
    <w:rsid w:val="31597FA1"/>
    <w:rsid w:val="3160589A"/>
    <w:rsid w:val="31787307"/>
    <w:rsid w:val="3186254F"/>
    <w:rsid w:val="31865CC0"/>
    <w:rsid w:val="31890F76"/>
    <w:rsid w:val="31A520B2"/>
    <w:rsid w:val="31CD06A0"/>
    <w:rsid w:val="31CF6EAD"/>
    <w:rsid w:val="31FA48BD"/>
    <w:rsid w:val="320E15E6"/>
    <w:rsid w:val="323C1B91"/>
    <w:rsid w:val="323D68E1"/>
    <w:rsid w:val="324C2621"/>
    <w:rsid w:val="32581A95"/>
    <w:rsid w:val="327A41D0"/>
    <w:rsid w:val="3286582B"/>
    <w:rsid w:val="32885421"/>
    <w:rsid w:val="328943C3"/>
    <w:rsid w:val="328A39B0"/>
    <w:rsid w:val="32962E5D"/>
    <w:rsid w:val="329A5DF7"/>
    <w:rsid w:val="32AB619A"/>
    <w:rsid w:val="32C1387C"/>
    <w:rsid w:val="32CF0595"/>
    <w:rsid w:val="32F12400"/>
    <w:rsid w:val="32F64B26"/>
    <w:rsid w:val="331A2D3F"/>
    <w:rsid w:val="335C32B3"/>
    <w:rsid w:val="33601393"/>
    <w:rsid w:val="336115CD"/>
    <w:rsid w:val="33733A8B"/>
    <w:rsid w:val="337C15E0"/>
    <w:rsid w:val="337F6943"/>
    <w:rsid w:val="33AD0878"/>
    <w:rsid w:val="33E51814"/>
    <w:rsid w:val="33EE6B99"/>
    <w:rsid w:val="33F64C79"/>
    <w:rsid w:val="34041290"/>
    <w:rsid w:val="34117868"/>
    <w:rsid w:val="342636E6"/>
    <w:rsid w:val="343F7EC8"/>
    <w:rsid w:val="344C007A"/>
    <w:rsid w:val="34523BAD"/>
    <w:rsid w:val="34744198"/>
    <w:rsid w:val="34A65421"/>
    <w:rsid w:val="34AB7785"/>
    <w:rsid w:val="34B44433"/>
    <w:rsid w:val="34C54D0C"/>
    <w:rsid w:val="34D33B47"/>
    <w:rsid w:val="34D9107E"/>
    <w:rsid w:val="34DC50E9"/>
    <w:rsid w:val="34EB3A64"/>
    <w:rsid w:val="34F073A7"/>
    <w:rsid w:val="34FA0C1D"/>
    <w:rsid w:val="35012C27"/>
    <w:rsid w:val="35193E30"/>
    <w:rsid w:val="35211974"/>
    <w:rsid w:val="35234DFA"/>
    <w:rsid w:val="353105A5"/>
    <w:rsid w:val="3533639E"/>
    <w:rsid w:val="35436399"/>
    <w:rsid w:val="355243DD"/>
    <w:rsid w:val="35542DC6"/>
    <w:rsid w:val="35576D0D"/>
    <w:rsid w:val="357A1E80"/>
    <w:rsid w:val="359B775E"/>
    <w:rsid w:val="35A76C3E"/>
    <w:rsid w:val="35B32BAE"/>
    <w:rsid w:val="35BB38C2"/>
    <w:rsid w:val="35C70CE1"/>
    <w:rsid w:val="35D76DC7"/>
    <w:rsid w:val="35E0015D"/>
    <w:rsid w:val="35E13E23"/>
    <w:rsid w:val="35E46399"/>
    <w:rsid w:val="35E67D86"/>
    <w:rsid w:val="36274D78"/>
    <w:rsid w:val="362E5006"/>
    <w:rsid w:val="36386CA8"/>
    <w:rsid w:val="365F3654"/>
    <w:rsid w:val="366D1D9C"/>
    <w:rsid w:val="368D0EDD"/>
    <w:rsid w:val="369A2E5B"/>
    <w:rsid w:val="36C03FEF"/>
    <w:rsid w:val="36C66D70"/>
    <w:rsid w:val="36CE3B48"/>
    <w:rsid w:val="36D31070"/>
    <w:rsid w:val="36DB2A0C"/>
    <w:rsid w:val="36EE26A8"/>
    <w:rsid w:val="36F009D6"/>
    <w:rsid w:val="36F873DB"/>
    <w:rsid w:val="36FC6226"/>
    <w:rsid w:val="36FF5257"/>
    <w:rsid w:val="37075868"/>
    <w:rsid w:val="37154C78"/>
    <w:rsid w:val="374431E5"/>
    <w:rsid w:val="37473CE1"/>
    <w:rsid w:val="37494DA4"/>
    <w:rsid w:val="374A6BF1"/>
    <w:rsid w:val="374E12B3"/>
    <w:rsid w:val="37585B26"/>
    <w:rsid w:val="37827398"/>
    <w:rsid w:val="379F0690"/>
    <w:rsid w:val="37A84BEA"/>
    <w:rsid w:val="37C960C1"/>
    <w:rsid w:val="37DC1A7F"/>
    <w:rsid w:val="37E67C70"/>
    <w:rsid w:val="38102C97"/>
    <w:rsid w:val="381153D7"/>
    <w:rsid w:val="38204287"/>
    <w:rsid w:val="385E4782"/>
    <w:rsid w:val="38711FD6"/>
    <w:rsid w:val="387B1D1D"/>
    <w:rsid w:val="3885354B"/>
    <w:rsid w:val="389304C8"/>
    <w:rsid w:val="38AD4110"/>
    <w:rsid w:val="38B77E9B"/>
    <w:rsid w:val="38E24066"/>
    <w:rsid w:val="38F00008"/>
    <w:rsid w:val="38F40A7C"/>
    <w:rsid w:val="38F44218"/>
    <w:rsid w:val="390234F7"/>
    <w:rsid w:val="39104E39"/>
    <w:rsid w:val="391A645D"/>
    <w:rsid w:val="392272E5"/>
    <w:rsid w:val="393C7A07"/>
    <w:rsid w:val="39457742"/>
    <w:rsid w:val="39476429"/>
    <w:rsid w:val="39604914"/>
    <w:rsid w:val="396934D0"/>
    <w:rsid w:val="397F16D6"/>
    <w:rsid w:val="39843A1D"/>
    <w:rsid w:val="398B61F0"/>
    <w:rsid w:val="39A22E18"/>
    <w:rsid w:val="3A0272E4"/>
    <w:rsid w:val="3A224602"/>
    <w:rsid w:val="3A2A4C4B"/>
    <w:rsid w:val="3A7649E1"/>
    <w:rsid w:val="3A7B3355"/>
    <w:rsid w:val="3A80711C"/>
    <w:rsid w:val="3A833DFC"/>
    <w:rsid w:val="3A8C6747"/>
    <w:rsid w:val="3A8F2B00"/>
    <w:rsid w:val="3AA26672"/>
    <w:rsid w:val="3ABA1783"/>
    <w:rsid w:val="3ACB59D2"/>
    <w:rsid w:val="3AD87E8A"/>
    <w:rsid w:val="3AED0E42"/>
    <w:rsid w:val="3AF73A95"/>
    <w:rsid w:val="3B087951"/>
    <w:rsid w:val="3B0C2805"/>
    <w:rsid w:val="3B117BBC"/>
    <w:rsid w:val="3B1573E5"/>
    <w:rsid w:val="3B3E169F"/>
    <w:rsid w:val="3B413934"/>
    <w:rsid w:val="3B414EFB"/>
    <w:rsid w:val="3B58693F"/>
    <w:rsid w:val="3B7C0C47"/>
    <w:rsid w:val="3BB97CDA"/>
    <w:rsid w:val="3BC136AA"/>
    <w:rsid w:val="3BD97729"/>
    <w:rsid w:val="3BDD367E"/>
    <w:rsid w:val="3BE51F0D"/>
    <w:rsid w:val="3C044C6A"/>
    <w:rsid w:val="3C1E7FE4"/>
    <w:rsid w:val="3C254E96"/>
    <w:rsid w:val="3C2F450A"/>
    <w:rsid w:val="3C364707"/>
    <w:rsid w:val="3C3E32BD"/>
    <w:rsid w:val="3C4B0C36"/>
    <w:rsid w:val="3C50383B"/>
    <w:rsid w:val="3C5647C1"/>
    <w:rsid w:val="3C687DED"/>
    <w:rsid w:val="3C7160A2"/>
    <w:rsid w:val="3C79775D"/>
    <w:rsid w:val="3C845922"/>
    <w:rsid w:val="3C8551CA"/>
    <w:rsid w:val="3C924AEC"/>
    <w:rsid w:val="3C99629A"/>
    <w:rsid w:val="3CA95738"/>
    <w:rsid w:val="3CAA1BEC"/>
    <w:rsid w:val="3CAC27E3"/>
    <w:rsid w:val="3CBE2065"/>
    <w:rsid w:val="3CE153F7"/>
    <w:rsid w:val="3CE7276F"/>
    <w:rsid w:val="3CEC4F84"/>
    <w:rsid w:val="3D0C1DC2"/>
    <w:rsid w:val="3D1D6110"/>
    <w:rsid w:val="3D2134B0"/>
    <w:rsid w:val="3D2D6A70"/>
    <w:rsid w:val="3D31651F"/>
    <w:rsid w:val="3D3216CB"/>
    <w:rsid w:val="3D6C4744"/>
    <w:rsid w:val="3D6C4F15"/>
    <w:rsid w:val="3D71548B"/>
    <w:rsid w:val="3D800919"/>
    <w:rsid w:val="3D890371"/>
    <w:rsid w:val="3D8D2FDF"/>
    <w:rsid w:val="3D9A08E9"/>
    <w:rsid w:val="3D9E3445"/>
    <w:rsid w:val="3DB272A9"/>
    <w:rsid w:val="3DCA37BF"/>
    <w:rsid w:val="3DCE6EBC"/>
    <w:rsid w:val="3DD264CD"/>
    <w:rsid w:val="3DDC05AC"/>
    <w:rsid w:val="3DF30DD3"/>
    <w:rsid w:val="3DF91A0F"/>
    <w:rsid w:val="3DF95B78"/>
    <w:rsid w:val="3E085726"/>
    <w:rsid w:val="3E0E126B"/>
    <w:rsid w:val="3E267D5C"/>
    <w:rsid w:val="3E2C3C82"/>
    <w:rsid w:val="3E2F24AE"/>
    <w:rsid w:val="3E4C3D54"/>
    <w:rsid w:val="3E513DD5"/>
    <w:rsid w:val="3E651362"/>
    <w:rsid w:val="3E662E77"/>
    <w:rsid w:val="3E870BAE"/>
    <w:rsid w:val="3E8E6408"/>
    <w:rsid w:val="3EB45964"/>
    <w:rsid w:val="3EB53906"/>
    <w:rsid w:val="3EB874FA"/>
    <w:rsid w:val="3EBB7499"/>
    <w:rsid w:val="3EBE7FFC"/>
    <w:rsid w:val="3EDB7E3E"/>
    <w:rsid w:val="3EDD4998"/>
    <w:rsid w:val="3F171015"/>
    <w:rsid w:val="3F270ED9"/>
    <w:rsid w:val="3F301DC2"/>
    <w:rsid w:val="3F350036"/>
    <w:rsid w:val="3F3F200E"/>
    <w:rsid w:val="3F4727FE"/>
    <w:rsid w:val="3F4D7BBC"/>
    <w:rsid w:val="3F640898"/>
    <w:rsid w:val="3FD12EC4"/>
    <w:rsid w:val="3FDD2E2C"/>
    <w:rsid w:val="3FE10F0D"/>
    <w:rsid w:val="3FED01A0"/>
    <w:rsid w:val="3FFD5116"/>
    <w:rsid w:val="400F77BB"/>
    <w:rsid w:val="401E39A6"/>
    <w:rsid w:val="40462115"/>
    <w:rsid w:val="404729C6"/>
    <w:rsid w:val="40672452"/>
    <w:rsid w:val="4079440E"/>
    <w:rsid w:val="407E3093"/>
    <w:rsid w:val="408E04F2"/>
    <w:rsid w:val="40A37E2A"/>
    <w:rsid w:val="40A96C8B"/>
    <w:rsid w:val="40AE2E6E"/>
    <w:rsid w:val="40BF6DC3"/>
    <w:rsid w:val="40D67624"/>
    <w:rsid w:val="40D96EC6"/>
    <w:rsid w:val="41082E1F"/>
    <w:rsid w:val="4119154E"/>
    <w:rsid w:val="411F2C98"/>
    <w:rsid w:val="412469A1"/>
    <w:rsid w:val="41306456"/>
    <w:rsid w:val="41312EE1"/>
    <w:rsid w:val="413E13CE"/>
    <w:rsid w:val="414A34BA"/>
    <w:rsid w:val="41545D14"/>
    <w:rsid w:val="415B425C"/>
    <w:rsid w:val="4171445B"/>
    <w:rsid w:val="417A1E79"/>
    <w:rsid w:val="41914899"/>
    <w:rsid w:val="41925E68"/>
    <w:rsid w:val="41950D67"/>
    <w:rsid w:val="41976302"/>
    <w:rsid w:val="41A47E0F"/>
    <w:rsid w:val="41AC0755"/>
    <w:rsid w:val="41D309A8"/>
    <w:rsid w:val="4209427F"/>
    <w:rsid w:val="420D5D1E"/>
    <w:rsid w:val="4229156C"/>
    <w:rsid w:val="422C0872"/>
    <w:rsid w:val="42337B57"/>
    <w:rsid w:val="425B4E20"/>
    <w:rsid w:val="426D0951"/>
    <w:rsid w:val="428722DE"/>
    <w:rsid w:val="42A415DC"/>
    <w:rsid w:val="42AC1EBD"/>
    <w:rsid w:val="42B76202"/>
    <w:rsid w:val="42BA3FE7"/>
    <w:rsid w:val="42D77CED"/>
    <w:rsid w:val="42E365A8"/>
    <w:rsid w:val="42F10490"/>
    <w:rsid w:val="42F12D3D"/>
    <w:rsid w:val="42F23088"/>
    <w:rsid w:val="42F770ED"/>
    <w:rsid w:val="42F81762"/>
    <w:rsid w:val="432A2670"/>
    <w:rsid w:val="4336261D"/>
    <w:rsid w:val="43465B85"/>
    <w:rsid w:val="434E0C90"/>
    <w:rsid w:val="439A2B5C"/>
    <w:rsid w:val="439C2275"/>
    <w:rsid w:val="43B54C02"/>
    <w:rsid w:val="43D50892"/>
    <w:rsid w:val="43E13089"/>
    <w:rsid w:val="43EB2C60"/>
    <w:rsid w:val="43FA1CA3"/>
    <w:rsid w:val="44006A40"/>
    <w:rsid w:val="44126970"/>
    <w:rsid w:val="441C261C"/>
    <w:rsid w:val="442E0EA8"/>
    <w:rsid w:val="447A31EB"/>
    <w:rsid w:val="4483720C"/>
    <w:rsid w:val="448979FA"/>
    <w:rsid w:val="4491361C"/>
    <w:rsid w:val="449E3DAB"/>
    <w:rsid w:val="44AC2F64"/>
    <w:rsid w:val="44B10FDB"/>
    <w:rsid w:val="44BC1CC9"/>
    <w:rsid w:val="44BF6DE9"/>
    <w:rsid w:val="44CB0943"/>
    <w:rsid w:val="44DD602A"/>
    <w:rsid w:val="45180856"/>
    <w:rsid w:val="451F4087"/>
    <w:rsid w:val="4525209A"/>
    <w:rsid w:val="452E7E8E"/>
    <w:rsid w:val="452F3FDE"/>
    <w:rsid w:val="45396808"/>
    <w:rsid w:val="45443661"/>
    <w:rsid w:val="45617180"/>
    <w:rsid w:val="4574543A"/>
    <w:rsid w:val="457D4F7D"/>
    <w:rsid w:val="458B76C1"/>
    <w:rsid w:val="45AA2DBA"/>
    <w:rsid w:val="45DC4620"/>
    <w:rsid w:val="45E25772"/>
    <w:rsid w:val="45E459C9"/>
    <w:rsid w:val="461827E8"/>
    <w:rsid w:val="461F2CA7"/>
    <w:rsid w:val="4634443C"/>
    <w:rsid w:val="463950B7"/>
    <w:rsid w:val="468A4BF2"/>
    <w:rsid w:val="46B82930"/>
    <w:rsid w:val="46BE369F"/>
    <w:rsid w:val="46D13811"/>
    <w:rsid w:val="46DA1A78"/>
    <w:rsid w:val="46E11E9A"/>
    <w:rsid w:val="46E663C1"/>
    <w:rsid w:val="46F952E1"/>
    <w:rsid w:val="46FE3CC4"/>
    <w:rsid w:val="47006D39"/>
    <w:rsid w:val="47032CF8"/>
    <w:rsid w:val="47035B3C"/>
    <w:rsid w:val="47103C90"/>
    <w:rsid w:val="47172150"/>
    <w:rsid w:val="473D0585"/>
    <w:rsid w:val="47965A71"/>
    <w:rsid w:val="47A53EEA"/>
    <w:rsid w:val="47A63FBE"/>
    <w:rsid w:val="47AF5AE5"/>
    <w:rsid w:val="47BB27DB"/>
    <w:rsid w:val="47CB6C13"/>
    <w:rsid w:val="47E4749D"/>
    <w:rsid w:val="47FD48D4"/>
    <w:rsid w:val="480C2631"/>
    <w:rsid w:val="481720CC"/>
    <w:rsid w:val="4818253F"/>
    <w:rsid w:val="48182595"/>
    <w:rsid w:val="482676AC"/>
    <w:rsid w:val="4828588E"/>
    <w:rsid w:val="482903CC"/>
    <w:rsid w:val="482F0A4B"/>
    <w:rsid w:val="48344EFE"/>
    <w:rsid w:val="48357810"/>
    <w:rsid w:val="483B4841"/>
    <w:rsid w:val="484E44AA"/>
    <w:rsid w:val="48556479"/>
    <w:rsid w:val="485B7804"/>
    <w:rsid w:val="486A2374"/>
    <w:rsid w:val="4893096C"/>
    <w:rsid w:val="48962E7A"/>
    <w:rsid w:val="489F5B76"/>
    <w:rsid w:val="48DA4D69"/>
    <w:rsid w:val="48DF354C"/>
    <w:rsid w:val="48F20768"/>
    <w:rsid w:val="48F658DD"/>
    <w:rsid w:val="49046066"/>
    <w:rsid w:val="490E735E"/>
    <w:rsid w:val="49390039"/>
    <w:rsid w:val="493A4B68"/>
    <w:rsid w:val="494335CE"/>
    <w:rsid w:val="494B63C5"/>
    <w:rsid w:val="494C1903"/>
    <w:rsid w:val="496C7CE8"/>
    <w:rsid w:val="498D7E41"/>
    <w:rsid w:val="49932BA5"/>
    <w:rsid w:val="49AA2124"/>
    <w:rsid w:val="49D16082"/>
    <w:rsid w:val="49F564D8"/>
    <w:rsid w:val="49F70ACE"/>
    <w:rsid w:val="4A1122F7"/>
    <w:rsid w:val="4A212004"/>
    <w:rsid w:val="4A215680"/>
    <w:rsid w:val="4A531876"/>
    <w:rsid w:val="4A5F3CE0"/>
    <w:rsid w:val="4A6E4D72"/>
    <w:rsid w:val="4A8B752F"/>
    <w:rsid w:val="4A8F735C"/>
    <w:rsid w:val="4AA10982"/>
    <w:rsid w:val="4AA71FE2"/>
    <w:rsid w:val="4AB323D7"/>
    <w:rsid w:val="4AB7572D"/>
    <w:rsid w:val="4AE33DEB"/>
    <w:rsid w:val="4AFF34D0"/>
    <w:rsid w:val="4B327A0D"/>
    <w:rsid w:val="4B543CF5"/>
    <w:rsid w:val="4B630D9D"/>
    <w:rsid w:val="4B8842FB"/>
    <w:rsid w:val="4B8E144F"/>
    <w:rsid w:val="4BAF5834"/>
    <w:rsid w:val="4BC15E6B"/>
    <w:rsid w:val="4BC67EBA"/>
    <w:rsid w:val="4BEA0BC2"/>
    <w:rsid w:val="4BF10D81"/>
    <w:rsid w:val="4BFD700C"/>
    <w:rsid w:val="4C094CE1"/>
    <w:rsid w:val="4C0E17FA"/>
    <w:rsid w:val="4C0E43D1"/>
    <w:rsid w:val="4C1A70E1"/>
    <w:rsid w:val="4C203807"/>
    <w:rsid w:val="4C2D030C"/>
    <w:rsid w:val="4C462F0F"/>
    <w:rsid w:val="4C84775A"/>
    <w:rsid w:val="4C98354C"/>
    <w:rsid w:val="4CA07144"/>
    <w:rsid w:val="4CB85C75"/>
    <w:rsid w:val="4CC71C28"/>
    <w:rsid w:val="4CDC2893"/>
    <w:rsid w:val="4D1C6EBB"/>
    <w:rsid w:val="4D47007D"/>
    <w:rsid w:val="4D747717"/>
    <w:rsid w:val="4D993348"/>
    <w:rsid w:val="4DA33BF3"/>
    <w:rsid w:val="4DA84FB8"/>
    <w:rsid w:val="4DB63CCC"/>
    <w:rsid w:val="4DBB6F7E"/>
    <w:rsid w:val="4DBD740F"/>
    <w:rsid w:val="4DCA6A86"/>
    <w:rsid w:val="4DD05DEE"/>
    <w:rsid w:val="4DD86E62"/>
    <w:rsid w:val="4DE044FA"/>
    <w:rsid w:val="4DEC20CA"/>
    <w:rsid w:val="4DFC4A93"/>
    <w:rsid w:val="4DFE53B9"/>
    <w:rsid w:val="4E096BBD"/>
    <w:rsid w:val="4E0E1716"/>
    <w:rsid w:val="4E1053F6"/>
    <w:rsid w:val="4E2673AA"/>
    <w:rsid w:val="4E292E26"/>
    <w:rsid w:val="4E390CBA"/>
    <w:rsid w:val="4E442075"/>
    <w:rsid w:val="4E4D2352"/>
    <w:rsid w:val="4E524AF1"/>
    <w:rsid w:val="4E656DCE"/>
    <w:rsid w:val="4E73310C"/>
    <w:rsid w:val="4E936C8E"/>
    <w:rsid w:val="4EA934A6"/>
    <w:rsid w:val="4EAB7177"/>
    <w:rsid w:val="4ED80EF1"/>
    <w:rsid w:val="4ED91501"/>
    <w:rsid w:val="4EE42EB0"/>
    <w:rsid w:val="4EE45DC5"/>
    <w:rsid w:val="4EF21139"/>
    <w:rsid w:val="4F22324A"/>
    <w:rsid w:val="4F320E88"/>
    <w:rsid w:val="4F3A5697"/>
    <w:rsid w:val="4F4643E5"/>
    <w:rsid w:val="4F57400A"/>
    <w:rsid w:val="4F58276D"/>
    <w:rsid w:val="4F6C47EE"/>
    <w:rsid w:val="4F6F15D2"/>
    <w:rsid w:val="4F736EA9"/>
    <w:rsid w:val="4F8C2445"/>
    <w:rsid w:val="4F9B06D3"/>
    <w:rsid w:val="4FB46866"/>
    <w:rsid w:val="4FB80C14"/>
    <w:rsid w:val="4FCA2793"/>
    <w:rsid w:val="4FD2548A"/>
    <w:rsid w:val="4FD52BC1"/>
    <w:rsid w:val="4FE7311F"/>
    <w:rsid w:val="4FFE6BEF"/>
    <w:rsid w:val="50030F30"/>
    <w:rsid w:val="5003569F"/>
    <w:rsid w:val="500D497C"/>
    <w:rsid w:val="501F0D9C"/>
    <w:rsid w:val="503C2639"/>
    <w:rsid w:val="504A6259"/>
    <w:rsid w:val="505C47BE"/>
    <w:rsid w:val="506C5BA2"/>
    <w:rsid w:val="506F03BA"/>
    <w:rsid w:val="50734D4F"/>
    <w:rsid w:val="508E11D0"/>
    <w:rsid w:val="50CE60A7"/>
    <w:rsid w:val="50DA15C0"/>
    <w:rsid w:val="50FD3CAD"/>
    <w:rsid w:val="50FE0FC0"/>
    <w:rsid w:val="511C7C13"/>
    <w:rsid w:val="5123795E"/>
    <w:rsid w:val="512463ED"/>
    <w:rsid w:val="513228DA"/>
    <w:rsid w:val="514171AF"/>
    <w:rsid w:val="5143275D"/>
    <w:rsid w:val="514E2AA0"/>
    <w:rsid w:val="515C34ED"/>
    <w:rsid w:val="51652260"/>
    <w:rsid w:val="51686A05"/>
    <w:rsid w:val="516B3340"/>
    <w:rsid w:val="516C109B"/>
    <w:rsid w:val="516E1E6D"/>
    <w:rsid w:val="518731FD"/>
    <w:rsid w:val="51AD545F"/>
    <w:rsid w:val="51C934D8"/>
    <w:rsid w:val="51D303FC"/>
    <w:rsid w:val="51E208A6"/>
    <w:rsid w:val="51EF5232"/>
    <w:rsid w:val="520005DF"/>
    <w:rsid w:val="5207490E"/>
    <w:rsid w:val="522A0E99"/>
    <w:rsid w:val="522E3FA6"/>
    <w:rsid w:val="523D5105"/>
    <w:rsid w:val="525D4B05"/>
    <w:rsid w:val="527F08E2"/>
    <w:rsid w:val="527F0EDD"/>
    <w:rsid w:val="528924C0"/>
    <w:rsid w:val="52B4125C"/>
    <w:rsid w:val="52B42828"/>
    <w:rsid w:val="52B445F5"/>
    <w:rsid w:val="52C415DF"/>
    <w:rsid w:val="52E70B26"/>
    <w:rsid w:val="52F3346A"/>
    <w:rsid w:val="531A72D9"/>
    <w:rsid w:val="5331316D"/>
    <w:rsid w:val="53344B13"/>
    <w:rsid w:val="535A536F"/>
    <w:rsid w:val="53655B83"/>
    <w:rsid w:val="53720C30"/>
    <w:rsid w:val="53852E2B"/>
    <w:rsid w:val="53853A71"/>
    <w:rsid w:val="538D3B05"/>
    <w:rsid w:val="53931EF9"/>
    <w:rsid w:val="53961EBE"/>
    <w:rsid w:val="53996ADF"/>
    <w:rsid w:val="53AA6CCA"/>
    <w:rsid w:val="53AC5903"/>
    <w:rsid w:val="53B04306"/>
    <w:rsid w:val="53B66101"/>
    <w:rsid w:val="53C35D83"/>
    <w:rsid w:val="53C57CE8"/>
    <w:rsid w:val="53FD1E6C"/>
    <w:rsid w:val="5408589E"/>
    <w:rsid w:val="540F0AC9"/>
    <w:rsid w:val="541540FD"/>
    <w:rsid w:val="54264CA7"/>
    <w:rsid w:val="5432079C"/>
    <w:rsid w:val="54334779"/>
    <w:rsid w:val="543D7438"/>
    <w:rsid w:val="544051AA"/>
    <w:rsid w:val="54462DFD"/>
    <w:rsid w:val="544F7F7E"/>
    <w:rsid w:val="54586297"/>
    <w:rsid w:val="546C78B4"/>
    <w:rsid w:val="546F7380"/>
    <w:rsid w:val="5475013A"/>
    <w:rsid w:val="547D5012"/>
    <w:rsid w:val="547F1ADA"/>
    <w:rsid w:val="54800EA5"/>
    <w:rsid w:val="5486313B"/>
    <w:rsid w:val="54995908"/>
    <w:rsid w:val="54A0585E"/>
    <w:rsid w:val="54A47810"/>
    <w:rsid w:val="54A70388"/>
    <w:rsid w:val="54AF2980"/>
    <w:rsid w:val="54B253FD"/>
    <w:rsid w:val="54C53023"/>
    <w:rsid w:val="54C74BE2"/>
    <w:rsid w:val="54DE1581"/>
    <w:rsid w:val="550B461A"/>
    <w:rsid w:val="550E0A7B"/>
    <w:rsid w:val="55110E7F"/>
    <w:rsid w:val="55122173"/>
    <w:rsid w:val="55134912"/>
    <w:rsid w:val="551E428C"/>
    <w:rsid w:val="551F6397"/>
    <w:rsid w:val="5521337A"/>
    <w:rsid w:val="55292601"/>
    <w:rsid w:val="552C3FDB"/>
    <w:rsid w:val="553625AB"/>
    <w:rsid w:val="5537679B"/>
    <w:rsid w:val="5543766E"/>
    <w:rsid w:val="555D1681"/>
    <w:rsid w:val="556F6245"/>
    <w:rsid w:val="557054F4"/>
    <w:rsid w:val="557843F7"/>
    <w:rsid w:val="55843B01"/>
    <w:rsid w:val="55890BE3"/>
    <w:rsid w:val="55BA7139"/>
    <w:rsid w:val="55BF4B79"/>
    <w:rsid w:val="55C560F7"/>
    <w:rsid w:val="55C93E40"/>
    <w:rsid w:val="55E41F99"/>
    <w:rsid w:val="55E60C1F"/>
    <w:rsid w:val="55FD1887"/>
    <w:rsid w:val="5603056A"/>
    <w:rsid w:val="56056F84"/>
    <w:rsid w:val="560B58EA"/>
    <w:rsid w:val="56291182"/>
    <w:rsid w:val="56362FA8"/>
    <w:rsid w:val="56395F19"/>
    <w:rsid w:val="56397FC4"/>
    <w:rsid w:val="5659199C"/>
    <w:rsid w:val="566223A5"/>
    <w:rsid w:val="56626CB7"/>
    <w:rsid w:val="566441E1"/>
    <w:rsid w:val="566E6277"/>
    <w:rsid w:val="5671177A"/>
    <w:rsid w:val="568A4D08"/>
    <w:rsid w:val="568C090E"/>
    <w:rsid w:val="568E1159"/>
    <w:rsid w:val="569E7552"/>
    <w:rsid w:val="56B957DD"/>
    <w:rsid w:val="56B963A6"/>
    <w:rsid w:val="56D7479C"/>
    <w:rsid w:val="56E00118"/>
    <w:rsid w:val="56E37A82"/>
    <w:rsid w:val="570D65EA"/>
    <w:rsid w:val="57290E69"/>
    <w:rsid w:val="57294A2D"/>
    <w:rsid w:val="574145F8"/>
    <w:rsid w:val="5743610D"/>
    <w:rsid w:val="57454DA6"/>
    <w:rsid w:val="577C793B"/>
    <w:rsid w:val="577D42F4"/>
    <w:rsid w:val="57A423F5"/>
    <w:rsid w:val="57AA415F"/>
    <w:rsid w:val="57B6569A"/>
    <w:rsid w:val="57C2199C"/>
    <w:rsid w:val="57CD369C"/>
    <w:rsid w:val="57EE054A"/>
    <w:rsid w:val="57F07D19"/>
    <w:rsid w:val="57F15B36"/>
    <w:rsid w:val="5811270E"/>
    <w:rsid w:val="58113DDE"/>
    <w:rsid w:val="582157FE"/>
    <w:rsid w:val="5834085F"/>
    <w:rsid w:val="583B5267"/>
    <w:rsid w:val="584E6A57"/>
    <w:rsid w:val="58564B58"/>
    <w:rsid w:val="585F2487"/>
    <w:rsid w:val="586F46BC"/>
    <w:rsid w:val="588E2FE1"/>
    <w:rsid w:val="58AA4338"/>
    <w:rsid w:val="58B20F3F"/>
    <w:rsid w:val="58D44718"/>
    <w:rsid w:val="58D8362F"/>
    <w:rsid w:val="58D94C0A"/>
    <w:rsid w:val="58FF4FB8"/>
    <w:rsid w:val="59062A85"/>
    <w:rsid w:val="591F6156"/>
    <w:rsid w:val="592C45D3"/>
    <w:rsid w:val="5936451D"/>
    <w:rsid w:val="59413C36"/>
    <w:rsid w:val="59692D7A"/>
    <w:rsid w:val="598A79E1"/>
    <w:rsid w:val="59963745"/>
    <w:rsid w:val="599F4284"/>
    <w:rsid w:val="59AF5C32"/>
    <w:rsid w:val="59C33EFF"/>
    <w:rsid w:val="5A001A24"/>
    <w:rsid w:val="5A197358"/>
    <w:rsid w:val="5A1F1676"/>
    <w:rsid w:val="5A2C4218"/>
    <w:rsid w:val="5A2E3FD3"/>
    <w:rsid w:val="5A3405F4"/>
    <w:rsid w:val="5A3E5024"/>
    <w:rsid w:val="5A3F6E20"/>
    <w:rsid w:val="5A603F71"/>
    <w:rsid w:val="5A643BB0"/>
    <w:rsid w:val="5A870699"/>
    <w:rsid w:val="5AA116A2"/>
    <w:rsid w:val="5ACB6CB1"/>
    <w:rsid w:val="5AD471D0"/>
    <w:rsid w:val="5AEB5101"/>
    <w:rsid w:val="5AEB6847"/>
    <w:rsid w:val="5AED60E2"/>
    <w:rsid w:val="5AEF37DA"/>
    <w:rsid w:val="5AF978F2"/>
    <w:rsid w:val="5B023C22"/>
    <w:rsid w:val="5B071714"/>
    <w:rsid w:val="5B0C42F2"/>
    <w:rsid w:val="5B0C5AFA"/>
    <w:rsid w:val="5B3673E6"/>
    <w:rsid w:val="5B3F6BC6"/>
    <w:rsid w:val="5B636929"/>
    <w:rsid w:val="5B7E0B48"/>
    <w:rsid w:val="5B84675B"/>
    <w:rsid w:val="5B876CB3"/>
    <w:rsid w:val="5B896351"/>
    <w:rsid w:val="5B8C6D45"/>
    <w:rsid w:val="5BCA4C95"/>
    <w:rsid w:val="5BCE5860"/>
    <w:rsid w:val="5BD77FE4"/>
    <w:rsid w:val="5BDC4EED"/>
    <w:rsid w:val="5C2B51A0"/>
    <w:rsid w:val="5C304B53"/>
    <w:rsid w:val="5C6D3DD8"/>
    <w:rsid w:val="5C736BAE"/>
    <w:rsid w:val="5C7F3C28"/>
    <w:rsid w:val="5C8D4537"/>
    <w:rsid w:val="5CA05C54"/>
    <w:rsid w:val="5CA548C0"/>
    <w:rsid w:val="5CA634AE"/>
    <w:rsid w:val="5CD7446A"/>
    <w:rsid w:val="5CEA79C0"/>
    <w:rsid w:val="5CFC6FF6"/>
    <w:rsid w:val="5D043207"/>
    <w:rsid w:val="5D0A20DC"/>
    <w:rsid w:val="5D0B47D1"/>
    <w:rsid w:val="5D0E07B1"/>
    <w:rsid w:val="5D2B6158"/>
    <w:rsid w:val="5D2C07C5"/>
    <w:rsid w:val="5D5A2782"/>
    <w:rsid w:val="5D5B4430"/>
    <w:rsid w:val="5D633BB5"/>
    <w:rsid w:val="5D652660"/>
    <w:rsid w:val="5D7955BC"/>
    <w:rsid w:val="5D7C22CE"/>
    <w:rsid w:val="5DA85E85"/>
    <w:rsid w:val="5DAA5259"/>
    <w:rsid w:val="5DC17497"/>
    <w:rsid w:val="5DC721FF"/>
    <w:rsid w:val="5DCF15BC"/>
    <w:rsid w:val="5DDD221E"/>
    <w:rsid w:val="5DF53FAB"/>
    <w:rsid w:val="5E125062"/>
    <w:rsid w:val="5E135A63"/>
    <w:rsid w:val="5E2016B2"/>
    <w:rsid w:val="5E207C89"/>
    <w:rsid w:val="5E2676A9"/>
    <w:rsid w:val="5E277265"/>
    <w:rsid w:val="5E280091"/>
    <w:rsid w:val="5E3805B4"/>
    <w:rsid w:val="5E4C75D2"/>
    <w:rsid w:val="5E5D2A60"/>
    <w:rsid w:val="5E614B2A"/>
    <w:rsid w:val="5E834AC7"/>
    <w:rsid w:val="5E916349"/>
    <w:rsid w:val="5E9F420F"/>
    <w:rsid w:val="5EA83D95"/>
    <w:rsid w:val="5EAD0EFA"/>
    <w:rsid w:val="5ECC5A9B"/>
    <w:rsid w:val="5EE46A07"/>
    <w:rsid w:val="5EE65836"/>
    <w:rsid w:val="5EE8689A"/>
    <w:rsid w:val="5EF27004"/>
    <w:rsid w:val="5F1055EF"/>
    <w:rsid w:val="5F20339B"/>
    <w:rsid w:val="5F3137A0"/>
    <w:rsid w:val="5F380CD3"/>
    <w:rsid w:val="5F3E5A21"/>
    <w:rsid w:val="5F4901BC"/>
    <w:rsid w:val="5F4B25F4"/>
    <w:rsid w:val="5F54267D"/>
    <w:rsid w:val="5F581CE3"/>
    <w:rsid w:val="5F6B5B99"/>
    <w:rsid w:val="5F936CA6"/>
    <w:rsid w:val="5F952FF3"/>
    <w:rsid w:val="5F976D88"/>
    <w:rsid w:val="5F977F18"/>
    <w:rsid w:val="5F9B4853"/>
    <w:rsid w:val="5F9E4603"/>
    <w:rsid w:val="5FC0742C"/>
    <w:rsid w:val="5FC74FE4"/>
    <w:rsid w:val="5FD2243D"/>
    <w:rsid w:val="5FE435E5"/>
    <w:rsid w:val="5FEE0760"/>
    <w:rsid w:val="5FFA07CB"/>
    <w:rsid w:val="601F56BC"/>
    <w:rsid w:val="602C0710"/>
    <w:rsid w:val="60364008"/>
    <w:rsid w:val="604D00B1"/>
    <w:rsid w:val="60570D7B"/>
    <w:rsid w:val="605A63F2"/>
    <w:rsid w:val="605E33C9"/>
    <w:rsid w:val="605F6C88"/>
    <w:rsid w:val="60B217B0"/>
    <w:rsid w:val="60D446CA"/>
    <w:rsid w:val="60F41941"/>
    <w:rsid w:val="60F63A81"/>
    <w:rsid w:val="60FA3D6C"/>
    <w:rsid w:val="610258E5"/>
    <w:rsid w:val="611B4802"/>
    <w:rsid w:val="61492BD9"/>
    <w:rsid w:val="614E6FD7"/>
    <w:rsid w:val="61902343"/>
    <w:rsid w:val="61943CF6"/>
    <w:rsid w:val="61951378"/>
    <w:rsid w:val="619923E3"/>
    <w:rsid w:val="61A478EA"/>
    <w:rsid w:val="61B035D8"/>
    <w:rsid w:val="61CA24BF"/>
    <w:rsid w:val="61CB1A38"/>
    <w:rsid w:val="61D25A6C"/>
    <w:rsid w:val="61D51DA0"/>
    <w:rsid w:val="61D81D93"/>
    <w:rsid w:val="61F22A71"/>
    <w:rsid w:val="61F63C0D"/>
    <w:rsid w:val="61F77B70"/>
    <w:rsid w:val="62061068"/>
    <w:rsid w:val="6212508B"/>
    <w:rsid w:val="621F4D1F"/>
    <w:rsid w:val="624D2548"/>
    <w:rsid w:val="62512330"/>
    <w:rsid w:val="625D33C0"/>
    <w:rsid w:val="62690C61"/>
    <w:rsid w:val="62771A0A"/>
    <w:rsid w:val="62814A1F"/>
    <w:rsid w:val="62827870"/>
    <w:rsid w:val="62835F56"/>
    <w:rsid w:val="62934316"/>
    <w:rsid w:val="629611FB"/>
    <w:rsid w:val="629D6342"/>
    <w:rsid w:val="62B73DF7"/>
    <w:rsid w:val="62E72F93"/>
    <w:rsid w:val="62E876CA"/>
    <w:rsid w:val="6313077E"/>
    <w:rsid w:val="631B0E1D"/>
    <w:rsid w:val="63205E9F"/>
    <w:rsid w:val="632B6A3E"/>
    <w:rsid w:val="63355DF0"/>
    <w:rsid w:val="63361A63"/>
    <w:rsid w:val="633974B2"/>
    <w:rsid w:val="635B5264"/>
    <w:rsid w:val="63653E8D"/>
    <w:rsid w:val="63745D8D"/>
    <w:rsid w:val="63762A4F"/>
    <w:rsid w:val="637D3232"/>
    <w:rsid w:val="638A16F6"/>
    <w:rsid w:val="63A47492"/>
    <w:rsid w:val="63A47522"/>
    <w:rsid w:val="63B06142"/>
    <w:rsid w:val="63BD0477"/>
    <w:rsid w:val="63D53DC0"/>
    <w:rsid w:val="63D86C9F"/>
    <w:rsid w:val="63DA1E72"/>
    <w:rsid w:val="63E23856"/>
    <w:rsid w:val="63E91928"/>
    <w:rsid w:val="64292B2E"/>
    <w:rsid w:val="642D4ACC"/>
    <w:rsid w:val="642E1ECF"/>
    <w:rsid w:val="64345254"/>
    <w:rsid w:val="643F2EBF"/>
    <w:rsid w:val="64413C19"/>
    <w:rsid w:val="64441384"/>
    <w:rsid w:val="645B369B"/>
    <w:rsid w:val="646E014A"/>
    <w:rsid w:val="64791C37"/>
    <w:rsid w:val="64856916"/>
    <w:rsid w:val="649B1258"/>
    <w:rsid w:val="649F01A5"/>
    <w:rsid w:val="64B33D44"/>
    <w:rsid w:val="64CE6131"/>
    <w:rsid w:val="64F859EE"/>
    <w:rsid w:val="65047C59"/>
    <w:rsid w:val="651B34A6"/>
    <w:rsid w:val="652470ED"/>
    <w:rsid w:val="652A3BC7"/>
    <w:rsid w:val="6533172B"/>
    <w:rsid w:val="653B6B51"/>
    <w:rsid w:val="655E0516"/>
    <w:rsid w:val="65650C5A"/>
    <w:rsid w:val="656A0FC9"/>
    <w:rsid w:val="657056DF"/>
    <w:rsid w:val="65854372"/>
    <w:rsid w:val="65977B39"/>
    <w:rsid w:val="65AB6FC7"/>
    <w:rsid w:val="65AD5199"/>
    <w:rsid w:val="65B20CD4"/>
    <w:rsid w:val="65B331AB"/>
    <w:rsid w:val="65CC403C"/>
    <w:rsid w:val="65D21F42"/>
    <w:rsid w:val="65D24EAB"/>
    <w:rsid w:val="65E3186D"/>
    <w:rsid w:val="65F21DE0"/>
    <w:rsid w:val="66282303"/>
    <w:rsid w:val="662829F8"/>
    <w:rsid w:val="66425F3C"/>
    <w:rsid w:val="664A6D1F"/>
    <w:rsid w:val="665821B7"/>
    <w:rsid w:val="666566F5"/>
    <w:rsid w:val="66695C31"/>
    <w:rsid w:val="66872927"/>
    <w:rsid w:val="66C02609"/>
    <w:rsid w:val="66C64644"/>
    <w:rsid w:val="66DD6B3B"/>
    <w:rsid w:val="66E66C72"/>
    <w:rsid w:val="66FD2A61"/>
    <w:rsid w:val="66FD3C43"/>
    <w:rsid w:val="6710340E"/>
    <w:rsid w:val="672B1E0B"/>
    <w:rsid w:val="677225B3"/>
    <w:rsid w:val="679A2C21"/>
    <w:rsid w:val="67A047D5"/>
    <w:rsid w:val="67D11789"/>
    <w:rsid w:val="67D165CF"/>
    <w:rsid w:val="67D24835"/>
    <w:rsid w:val="67D7583C"/>
    <w:rsid w:val="67DE46E6"/>
    <w:rsid w:val="67F15B46"/>
    <w:rsid w:val="68091203"/>
    <w:rsid w:val="68270C2C"/>
    <w:rsid w:val="6831164A"/>
    <w:rsid w:val="6835284B"/>
    <w:rsid w:val="68421FFC"/>
    <w:rsid w:val="686571CC"/>
    <w:rsid w:val="68782E03"/>
    <w:rsid w:val="68A5209D"/>
    <w:rsid w:val="68AD1E50"/>
    <w:rsid w:val="68AE2E1F"/>
    <w:rsid w:val="68C00C2D"/>
    <w:rsid w:val="68CB29CE"/>
    <w:rsid w:val="68D91EEE"/>
    <w:rsid w:val="68E54403"/>
    <w:rsid w:val="68EA5567"/>
    <w:rsid w:val="68F07246"/>
    <w:rsid w:val="68FC0BD7"/>
    <w:rsid w:val="69150F0A"/>
    <w:rsid w:val="691E04B8"/>
    <w:rsid w:val="691E41C1"/>
    <w:rsid w:val="692113C0"/>
    <w:rsid w:val="69344178"/>
    <w:rsid w:val="69396532"/>
    <w:rsid w:val="693D20FE"/>
    <w:rsid w:val="69474748"/>
    <w:rsid w:val="69485772"/>
    <w:rsid w:val="69967222"/>
    <w:rsid w:val="6999230F"/>
    <w:rsid w:val="69AF23A8"/>
    <w:rsid w:val="69B21438"/>
    <w:rsid w:val="69B347B5"/>
    <w:rsid w:val="69D04C64"/>
    <w:rsid w:val="69D353AA"/>
    <w:rsid w:val="69E556B9"/>
    <w:rsid w:val="69F914BB"/>
    <w:rsid w:val="6A0668B2"/>
    <w:rsid w:val="6A193CFA"/>
    <w:rsid w:val="6A1B50BB"/>
    <w:rsid w:val="6A246E33"/>
    <w:rsid w:val="6A39635F"/>
    <w:rsid w:val="6A514584"/>
    <w:rsid w:val="6A567440"/>
    <w:rsid w:val="6A5C42F6"/>
    <w:rsid w:val="6A682463"/>
    <w:rsid w:val="6A6F1526"/>
    <w:rsid w:val="6A884BAA"/>
    <w:rsid w:val="6A951AB3"/>
    <w:rsid w:val="6A952D1D"/>
    <w:rsid w:val="6AA13DC4"/>
    <w:rsid w:val="6AA17F60"/>
    <w:rsid w:val="6AB94466"/>
    <w:rsid w:val="6AC42D1F"/>
    <w:rsid w:val="6AD0266F"/>
    <w:rsid w:val="6AD7755E"/>
    <w:rsid w:val="6AF81FA2"/>
    <w:rsid w:val="6B3342DB"/>
    <w:rsid w:val="6B3533B2"/>
    <w:rsid w:val="6B545096"/>
    <w:rsid w:val="6B5F1CA2"/>
    <w:rsid w:val="6B6612C8"/>
    <w:rsid w:val="6B6C23A1"/>
    <w:rsid w:val="6B7608A7"/>
    <w:rsid w:val="6B8C4D23"/>
    <w:rsid w:val="6B8C4D70"/>
    <w:rsid w:val="6BB47DA1"/>
    <w:rsid w:val="6BB9252F"/>
    <w:rsid w:val="6BCB4D77"/>
    <w:rsid w:val="6BE01EF2"/>
    <w:rsid w:val="6BE70D0E"/>
    <w:rsid w:val="6BEE36B7"/>
    <w:rsid w:val="6C0812FC"/>
    <w:rsid w:val="6C3C413B"/>
    <w:rsid w:val="6C3F3B49"/>
    <w:rsid w:val="6C3F4BAD"/>
    <w:rsid w:val="6C4A1D7F"/>
    <w:rsid w:val="6C550B2B"/>
    <w:rsid w:val="6C5F03C2"/>
    <w:rsid w:val="6C6265D5"/>
    <w:rsid w:val="6CA84367"/>
    <w:rsid w:val="6CAF6A6A"/>
    <w:rsid w:val="6CCB5537"/>
    <w:rsid w:val="6CD96246"/>
    <w:rsid w:val="6CE60FA7"/>
    <w:rsid w:val="6D3B314F"/>
    <w:rsid w:val="6D3E714B"/>
    <w:rsid w:val="6D4172B0"/>
    <w:rsid w:val="6D65071C"/>
    <w:rsid w:val="6D6E3310"/>
    <w:rsid w:val="6D7A0401"/>
    <w:rsid w:val="6D8C43E4"/>
    <w:rsid w:val="6D91614B"/>
    <w:rsid w:val="6DA60B6F"/>
    <w:rsid w:val="6DA74008"/>
    <w:rsid w:val="6DC57C76"/>
    <w:rsid w:val="6DC768CB"/>
    <w:rsid w:val="6E00030F"/>
    <w:rsid w:val="6E0E6715"/>
    <w:rsid w:val="6E2A25AC"/>
    <w:rsid w:val="6E3C7E36"/>
    <w:rsid w:val="6E4000FE"/>
    <w:rsid w:val="6E4B78F3"/>
    <w:rsid w:val="6E6077F4"/>
    <w:rsid w:val="6E6974E9"/>
    <w:rsid w:val="6E76217B"/>
    <w:rsid w:val="6E7E34F4"/>
    <w:rsid w:val="6E826481"/>
    <w:rsid w:val="6E8F006A"/>
    <w:rsid w:val="6E9F3E00"/>
    <w:rsid w:val="6E9F5B3E"/>
    <w:rsid w:val="6EB8669A"/>
    <w:rsid w:val="6EBC0044"/>
    <w:rsid w:val="6EC753FB"/>
    <w:rsid w:val="6EE07C46"/>
    <w:rsid w:val="6EED35FD"/>
    <w:rsid w:val="6EEF2D9C"/>
    <w:rsid w:val="6F0B19B4"/>
    <w:rsid w:val="6F1C5AEE"/>
    <w:rsid w:val="6F425164"/>
    <w:rsid w:val="6F5156ED"/>
    <w:rsid w:val="6F5B7387"/>
    <w:rsid w:val="6F817CE8"/>
    <w:rsid w:val="6F9365C4"/>
    <w:rsid w:val="6FA65E75"/>
    <w:rsid w:val="6FA8384F"/>
    <w:rsid w:val="6FBA1A25"/>
    <w:rsid w:val="6FC1275B"/>
    <w:rsid w:val="6FCD43D3"/>
    <w:rsid w:val="6FDA5972"/>
    <w:rsid w:val="6FF64413"/>
    <w:rsid w:val="6FFC142F"/>
    <w:rsid w:val="70123905"/>
    <w:rsid w:val="70177E54"/>
    <w:rsid w:val="703B2F17"/>
    <w:rsid w:val="704C1810"/>
    <w:rsid w:val="70854D35"/>
    <w:rsid w:val="70BA4CE4"/>
    <w:rsid w:val="70BE358D"/>
    <w:rsid w:val="70D04491"/>
    <w:rsid w:val="70FB1718"/>
    <w:rsid w:val="711E2F79"/>
    <w:rsid w:val="715830C3"/>
    <w:rsid w:val="71593C58"/>
    <w:rsid w:val="715F4C15"/>
    <w:rsid w:val="716A568D"/>
    <w:rsid w:val="717D1D50"/>
    <w:rsid w:val="717D2F25"/>
    <w:rsid w:val="71945708"/>
    <w:rsid w:val="71A7698B"/>
    <w:rsid w:val="71B2234E"/>
    <w:rsid w:val="71DC0CB9"/>
    <w:rsid w:val="71DE3B2C"/>
    <w:rsid w:val="71EB1993"/>
    <w:rsid w:val="71F430B7"/>
    <w:rsid w:val="71FE2212"/>
    <w:rsid w:val="72081D45"/>
    <w:rsid w:val="720E43DD"/>
    <w:rsid w:val="722A5AA1"/>
    <w:rsid w:val="723746BF"/>
    <w:rsid w:val="72420E50"/>
    <w:rsid w:val="72441298"/>
    <w:rsid w:val="72597CB9"/>
    <w:rsid w:val="725D7A87"/>
    <w:rsid w:val="72763C35"/>
    <w:rsid w:val="727807B0"/>
    <w:rsid w:val="72844582"/>
    <w:rsid w:val="728B4661"/>
    <w:rsid w:val="72A72D96"/>
    <w:rsid w:val="72B347BB"/>
    <w:rsid w:val="72B967CA"/>
    <w:rsid w:val="72BE489E"/>
    <w:rsid w:val="72C134E3"/>
    <w:rsid w:val="72C71162"/>
    <w:rsid w:val="72CD18A7"/>
    <w:rsid w:val="72D012A8"/>
    <w:rsid w:val="72D46E73"/>
    <w:rsid w:val="72F157AE"/>
    <w:rsid w:val="72F65945"/>
    <w:rsid w:val="72FD77EB"/>
    <w:rsid w:val="731D2719"/>
    <w:rsid w:val="731E78B3"/>
    <w:rsid w:val="7325351B"/>
    <w:rsid w:val="73585712"/>
    <w:rsid w:val="736C1D14"/>
    <w:rsid w:val="73720960"/>
    <w:rsid w:val="738D1138"/>
    <w:rsid w:val="73910E04"/>
    <w:rsid w:val="73934A5C"/>
    <w:rsid w:val="73AF04CC"/>
    <w:rsid w:val="73C35242"/>
    <w:rsid w:val="73C935C4"/>
    <w:rsid w:val="73D370FC"/>
    <w:rsid w:val="73D912EE"/>
    <w:rsid w:val="73E634D4"/>
    <w:rsid w:val="73F27ED7"/>
    <w:rsid w:val="73FB34B4"/>
    <w:rsid w:val="74053DE5"/>
    <w:rsid w:val="740E3232"/>
    <w:rsid w:val="741F05F0"/>
    <w:rsid w:val="745C5BC0"/>
    <w:rsid w:val="746A7590"/>
    <w:rsid w:val="746F62EF"/>
    <w:rsid w:val="7498350E"/>
    <w:rsid w:val="74A54E9B"/>
    <w:rsid w:val="74B2559A"/>
    <w:rsid w:val="74C338B9"/>
    <w:rsid w:val="74EC3571"/>
    <w:rsid w:val="74FA3A82"/>
    <w:rsid w:val="751C0D81"/>
    <w:rsid w:val="75236738"/>
    <w:rsid w:val="75404B0E"/>
    <w:rsid w:val="75670A45"/>
    <w:rsid w:val="75690499"/>
    <w:rsid w:val="756C6DE6"/>
    <w:rsid w:val="756F0F99"/>
    <w:rsid w:val="757E3944"/>
    <w:rsid w:val="758B032D"/>
    <w:rsid w:val="75936EC4"/>
    <w:rsid w:val="75AA0017"/>
    <w:rsid w:val="75C53991"/>
    <w:rsid w:val="76053698"/>
    <w:rsid w:val="761D52C6"/>
    <w:rsid w:val="761E61E7"/>
    <w:rsid w:val="76404490"/>
    <w:rsid w:val="764F6F39"/>
    <w:rsid w:val="76532F71"/>
    <w:rsid w:val="76587C5A"/>
    <w:rsid w:val="765E1D93"/>
    <w:rsid w:val="76626E74"/>
    <w:rsid w:val="766565F2"/>
    <w:rsid w:val="76787BA1"/>
    <w:rsid w:val="767F05F3"/>
    <w:rsid w:val="76827FC2"/>
    <w:rsid w:val="76A57BB9"/>
    <w:rsid w:val="76B976B5"/>
    <w:rsid w:val="76BA5F34"/>
    <w:rsid w:val="76C606D5"/>
    <w:rsid w:val="76D95F21"/>
    <w:rsid w:val="76E03462"/>
    <w:rsid w:val="77074715"/>
    <w:rsid w:val="770A398C"/>
    <w:rsid w:val="770D7371"/>
    <w:rsid w:val="771A0966"/>
    <w:rsid w:val="771A3C1C"/>
    <w:rsid w:val="77375749"/>
    <w:rsid w:val="773F7B80"/>
    <w:rsid w:val="7743058A"/>
    <w:rsid w:val="77526B0D"/>
    <w:rsid w:val="7765197E"/>
    <w:rsid w:val="776F1641"/>
    <w:rsid w:val="776F1A5F"/>
    <w:rsid w:val="77731788"/>
    <w:rsid w:val="777624A7"/>
    <w:rsid w:val="77804412"/>
    <w:rsid w:val="77831118"/>
    <w:rsid w:val="778C38D5"/>
    <w:rsid w:val="779E51C8"/>
    <w:rsid w:val="77B2156B"/>
    <w:rsid w:val="77B4010E"/>
    <w:rsid w:val="77B974F3"/>
    <w:rsid w:val="77C7581C"/>
    <w:rsid w:val="77E01B39"/>
    <w:rsid w:val="77E37E0F"/>
    <w:rsid w:val="77FC7201"/>
    <w:rsid w:val="78053571"/>
    <w:rsid w:val="78434ED3"/>
    <w:rsid w:val="78463499"/>
    <w:rsid w:val="78586733"/>
    <w:rsid w:val="789D1687"/>
    <w:rsid w:val="78A84124"/>
    <w:rsid w:val="78D137EA"/>
    <w:rsid w:val="78D94DC1"/>
    <w:rsid w:val="78E93B95"/>
    <w:rsid w:val="78F12248"/>
    <w:rsid w:val="79020EC2"/>
    <w:rsid w:val="7913021A"/>
    <w:rsid w:val="79174DA7"/>
    <w:rsid w:val="794C2516"/>
    <w:rsid w:val="795B4C89"/>
    <w:rsid w:val="796D0E7A"/>
    <w:rsid w:val="798C559A"/>
    <w:rsid w:val="79A21903"/>
    <w:rsid w:val="79AE5ED5"/>
    <w:rsid w:val="79BA19A7"/>
    <w:rsid w:val="79BA5D7D"/>
    <w:rsid w:val="79C73C77"/>
    <w:rsid w:val="79C77A13"/>
    <w:rsid w:val="79CD123E"/>
    <w:rsid w:val="79EC681A"/>
    <w:rsid w:val="7A001FE8"/>
    <w:rsid w:val="7A246AD8"/>
    <w:rsid w:val="7A3017FC"/>
    <w:rsid w:val="7A3B77FC"/>
    <w:rsid w:val="7A3C7EFA"/>
    <w:rsid w:val="7A3D48E6"/>
    <w:rsid w:val="7A532EBD"/>
    <w:rsid w:val="7A5F0A5F"/>
    <w:rsid w:val="7A8A0E87"/>
    <w:rsid w:val="7A902420"/>
    <w:rsid w:val="7AB93F0F"/>
    <w:rsid w:val="7AC6652E"/>
    <w:rsid w:val="7AC966D8"/>
    <w:rsid w:val="7AF83929"/>
    <w:rsid w:val="7AFA7D02"/>
    <w:rsid w:val="7B020ED3"/>
    <w:rsid w:val="7B1A48BD"/>
    <w:rsid w:val="7B354F1A"/>
    <w:rsid w:val="7B3A3846"/>
    <w:rsid w:val="7B643491"/>
    <w:rsid w:val="7B7414B5"/>
    <w:rsid w:val="7B860E06"/>
    <w:rsid w:val="7B8918BE"/>
    <w:rsid w:val="7B9F7B5A"/>
    <w:rsid w:val="7BA16B9B"/>
    <w:rsid w:val="7BA639BD"/>
    <w:rsid w:val="7BAD3217"/>
    <w:rsid w:val="7BAD727E"/>
    <w:rsid w:val="7BB73496"/>
    <w:rsid w:val="7BC9004F"/>
    <w:rsid w:val="7BD40B7F"/>
    <w:rsid w:val="7BDE4ABF"/>
    <w:rsid w:val="7BE5539A"/>
    <w:rsid w:val="7C010272"/>
    <w:rsid w:val="7C1C3AF0"/>
    <w:rsid w:val="7C34445D"/>
    <w:rsid w:val="7C454579"/>
    <w:rsid w:val="7C4614F7"/>
    <w:rsid w:val="7C4C6882"/>
    <w:rsid w:val="7C525140"/>
    <w:rsid w:val="7C621D1D"/>
    <w:rsid w:val="7C67408A"/>
    <w:rsid w:val="7C8B3803"/>
    <w:rsid w:val="7CA653BC"/>
    <w:rsid w:val="7CAA3414"/>
    <w:rsid w:val="7CB47315"/>
    <w:rsid w:val="7CF57A23"/>
    <w:rsid w:val="7D0160F5"/>
    <w:rsid w:val="7D1D7FE3"/>
    <w:rsid w:val="7D2E42FD"/>
    <w:rsid w:val="7D635B62"/>
    <w:rsid w:val="7D784199"/>
    <w:rsid w:val="7D8432B1"/>
    <w:rsid w:val="7D977D7B"/>
    <w:rsid w:val="7DA03E54"/>
    <w:rsid w:val="7DA81688"/>
    <w:rsid w:val="7DAF574A"/>
    <w:rsid w:val="7DBD2F6B"/>
    <w:rsid w:val="7DC3387A"/>
    <w:rsid w:val="7DCE108C"/>
    <w:rsid w:val="7DD645AA"/>
    <w:rsid w:val="7DE61435"/>
    <w:rsid w:val="7DFD71AE"/>
    <w:rsid w:val="7DFE0C22"/>
    <w:rsid w:val="7E2044F0"/>
    <w:rsid w:val="7E2B6668"/>
    <w:rsid w:val="7E2B762D"/>
    <w:rsid w:val="7E344A4D"/>
    <w:rsid w:val="7E44145B"/>
    <w:rsid w:val="7E525826"/>
    <w:rsid w:val="7E544771"/>
    <w:rsid w:val="7E73126A"/>
    <w:rsid w:val="7E7F2A97"/>
    <w:rsid w:val="7EBD6ED7"/>
    <w:rsid w:val="7ED469EB"/>
    <w:rsid w:val="7EE446E0"/>
    <w:rsid w:val="7EE46350"/>
    <w:rsid w:val="7EEB1D84"/>
    <w:rsid w:val="7EF83AE6"/>
    <w:rsid w:val="7F014144"/>
    <w:rsid w:val="7F08725C"/>
    <w:rsid w:val="7F346EED"/>
    <w:rsid w:val="7F5838E4"/>
    <w:rsid w:val="7F9B0A3F"/>
    <w:rsid w:val="7F9B2112"/>
    <w:rsid w:val="7F9C52BF"/>
    <w:rsid w:val="7F9C6C6E"/>
    <w:rsid w:val="7FA62EED"/>
    <w:rsid w:val="7FBD02DD"/>
    <w:rsid w:val="7FEF423F"/>
    <w:rsid w:val="7FF44AD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 w:hAnsi="Times New Roman" w:eastAsia="仿宋" w:cs="Times New Roman"/>
      <w:kern w:val="2"/>
      <w:sz w:val="32"/>
      <w:szCs w:val="24"/>
      <w:lang w:val="en-US" w:eastAsia="zh-CN" w:bidi="ar-SA"/>
    </w:rPr>
  </w:style>
  <w:style w:type="paragraph" w:styleId="3">
    <w:name w:val="heading 1"/>
    <w:basedOn w:val="1"/>
    <w:next w:val="1"/>
    <w:qFormat/>
    <w:uiPriority w:val="9"/>
    <w:pPr>
      <w:keepNext/>
      <w:keepLines/>
      <w:ind w:firstLine="0" w:firstLineChars="0"/>
      <w:jc w:val="center"/>
      <w:outlineLvl w:val="0"/>
    </w:pPr>
    <w:rPr>
      <w:rFonts w:eastAsia="黑体"/>
      <w:kern w:val="44"/>
    </w:rPr>
  </w:style>
  <w:style w:type="paragraph" w:styleId="4">
    <w:name w:val="heading 2"/>
    <w:basedOn w:val="1"/>
    <w:next w:val="1"/>
    <w:link w:val="50"/>
    <w:unhideWhenUsed/>
    <w:qFormat/>
    <w:uiPriority w:val="9"/>
    <w:pPr>
      <w:keepNext/>
      <w:keepLines/>
      <w:ind w:firstLine="0" w:firstLineChars="0"/>
      <w:jc w:val="center"/>
      <w:outlineLvl w:val="1"/>
    </w:pPr>
    <w:rPr>
      <w:rFonts w:ascii="Arial" w:hAnsi="Arial" w:eastAsia="楷体_GB2312"/>
      <w:b/>
    </w:rPr>
  </w:style>
  <w:style w:type="paragraph" w:styleId="5">
    <w:name w:val="heading 3"/>
    <w:basedOn w:val="1"/>
    <w:next w:val="1"/>
    <w:unhideWhenUsed/>
    <w:qFormat/>
    <w:uiPriority w:val="9"/>
    <w:pPr>
      <w:keepNext/>
      <w:keepLines/>
      <w:outlineLvl w:val="2"/>
    </w:pPr>
    <w:rPr>
      <w:b/>
    </w:rPr>
  </w:style>
  <w:style w:type="paragraph" w:styleId="2">
    <w:name w:val="heading 4"/>
    <w:basedOn w:val="1"/>
    <w:next w:val="1"/>
    <w:unhideWhenUsed/>
    <w:qFormat/>
    <w:uiPriority w:val="9"/>
    <w:pPr>
      <w:keepNext/>
      <w:keepLines/>
      <w:outlineLvl w:val="3"/>
    </w:pPr>
    <w:rPr>
      <w:rFonts w:ascii="Arial" w:hAnsi="Arial"/>
      <w:b/>
    </w:rPr>
  </w:style>
  <w:style w:type="character" w:default="1" w:styleId="26">
    <w:name w:val="Default Paragraph Font"/>
    <w:semiHidden/>
    <w:unhideWhenUsed/>
    <w:uiPriority w:val="1"/>
  </w:style>
  <w:style w:type="table" w:default="1" w:styleId="24">
    <w:name w:val="Normal Table"/>
    <w:semiHidden/>
    <w:unhideWhenUsed/>
    <w:uiPriority w:val="99"/>
    <w:tblPr>
      <w:tblLayout w:type="fixed"/>
      <w:tblCellMar>
        <w:top w:w="0" w:type="dxa"/>
        <w:left w:w="108" w:type="dxa"/>
        <w:bottom w:w="0" w:type="dxa"/>
        <w:right w:w="108" w:type="dxa"/>
      </w:tblCellMar>
    </w:tblPr>
  </w:style>
  <w:style w:type="paragraph" w:styleId="6">
    <w:name w:val="toc 7"/>
    <w:basedOn w:val="1"/>
    <w:next w:val="1"/>
    <w:unhideWhenUsed/>
    <w:qFormat/>
    <w:uiPriority w:val="39"/>
    <w:pPr>
      <w:spacing w:line="240" w:lineRule="auto"/>
      <w:ind w:left="2520" w:leftChars="1200" w:firstLine="0" w:firstLineChars="0"/>
    </w:pPr>
    <w:rPr>
      <w:rFonts w:asciiTheme="minorHAnsi" w:hAnsiTheme="minorHAnsi" w:eastAsiaTheme="minorEastAsia" w:cstheme="minorBidi"/>
      <w:sz w:val="21"/>
      <w:szCs w:val="22"/>
    </w:rPr>
  </w:style>
  <w:style w:type="paragraph" w:styleId="7">
    <w:name w:val="annotation text"/>
    <w:basedOn w:val="1"/>
    <w:link w:val="40"/>
    <w:semiHidden/>
    <w:unhideWhenUsed/>
    <w:qFormat/>
    <w:uiPriority w:val="99"/>
  </w:style>
  <w:style w:type="paragraph" w:styleId="8">
    <w:name w:val="Body Text"/>
    <w:basedOn w:val="1"/>
    <w:qFormat/>
    <w:uiPriority w:val="99"/>
    <w:pPr>
      <w:ind w:left="102"/>
    </w:pPr>
    <w:rPr>
      <w:rFonts w:ascii="宋体"/>
      <w:sz w:val="29"/>
    </w:rPr>
  </w:style>
  <w:style w:type="paragraph" w:styleId="9">
    <w:name w:val="toc 5"/>
    <w:basedOn w:val="1"/>
    <w:next w:val="1"/>
    <w:unhideWhenUsed/>
    <w:qFormat/>
    <w:uiPriority w:val="39"/>
    <w:pPr>
      <w:ind w:left="1680" w:leftChars="800"/>
    </w:pPr>
  </w:style>
  <w:style w:type="paragraph" w:styleId="10">
    <w:name w:val="toc 3"/>
    <w:basedOn w:val="1"/>
    <w:next w:val="1"/>
    <w:unhideWhenUsed/>
    <w:qFormat/>
    <w:uiPriority w:val="39"/>
    <w:pPr>
      <w:widowControl/>
      <w:spacing w:after="100" w:line="240" w:lineRule="auto"/>
      <w:ind w:left="442" w:firstLine="0" w:firstLineChars="0"/>
      <w:jc w:val="left"/>
    </w:pPr>
    <w:rPr>
      <w:rFonts w:hAnsiTheme="minorHAnsi"/>
      <w:kern w:val="0"/>
      <w:sz w:val="28"/>
      <w:szCs w:val="22"/>
    </w:rPr>
  </w:style>
  <w:style w:type="paragraph" w:styleId="11">
    <w:name w:val="toc 8"/>
    <w:basedOn w:val="1"/>
    <w:next w:val="1"/>
    <w:unhideWhenUsed/>
    <w:qFormat/>
    <w:uiPriority w:val="39"/>
    <w:pPr>
      <w:spacing w:line="240" w:lineRule="auto"/>
      <w:ind w:left="2940" w:leftChars="1400" w:firstLine="0" w:firstLineChars="0"/>
    </w:pPr>
    <w:rPr>
      <w:rFonts w:asciiTheme="minorHAnsi" w:hAnsiTheme="minorHAnsi" w:eastAsiaTheme="minorEastAsia" w:cstheme="minorBidi"/>
      <w:sz w:val="21"/>
      <w:szCs w:val="22"/>
    </w:rPr>
  </w:style>
  <w:style w:type="paragraph" w:styleId="12">
    <w:name w:val="Date"/>
    <w:basedOn w:val="1"/>
    <w:next w:val="1"/>
    <w:link w:val="45"/>
    <w:semiHidden/>
    <w:unhideWhenUsed/>
    <w:qFormat/>
    <w:uiPriority w:val="99"/>
    <w:pPr>
      <w:ind w:left="100" w:leftChars="2500"/>
    </w:pPr>
  </w:style>
  <w:style w:type="paragraph" w:styleId="13">
    <w:name w:val="Balloon Text"/>
    <w:basedOn w:val="1"/>
    <w:link w:val="38"/>
    <w:semiHidden/>
    <w:unhideWhenUsed/>
    <w:qFormat/>
    <w:uiPriority w:val="99"/>
    <w:pPr>
      <w:spacing w:line="240" w:lineRule="auto"/>
    </w:pPr>
    <w:rPr>
      <w:sz w:val="18"/>
      <w:szCs w:val="18"/>
    </w:rPr>
  </w:style>
  <w:style w:type="paragraph" w:styleId="14">
    <w:name w:val="footer"/>
    <w:basedOn w:val="1"/>
    <w:link w:val="29"/>
    <w:unhideWhenUsed/>
    <w:qFormat/>
    <w:uiPriority w:val="99"/>
    <w:pPr>
      <w:tabs>
        <w:tab w:val="center" w:pos="4153"/>
        <w:tab w:val="right" w:pos="8306"/>
      </w:tabs>
      <w:snapToGrid w:val="0"/>
    </w:pPr>
    <w:rPr>
      <w:sz w:val="28"/>
      <w:szCs w:val="18"/>
    </w:rPr>
  </w:style>
  <w:style w:type="paragraph" w:styleId="15">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ind w:firstLine="0" w:firstLineChars="0"/>
    </w:pPr>
    <w:rPr>
      <w:b/>
      <w:sz w:val="28"/>
    </w:rPr>
  </w:style>
  <w:style w:type="paragraph" w:styleId="17">
    <w:name w:val="toc 4"/>
    <w:basedOn w:val="1"/>
    <w:next w:val="1"/>
    <w:unhideWhenUsed/>
    <w:qFormat/>
    <w:uiPriority w:val="39"/>
    <w:pPr>
      <w:spacing w:line="240" w:lineRule="auto"/>
      <w:ind w:left="1260" w:leftChars="600" w:firstLine="0" w:firstLineChars="0"/>
    </w:pPr>
    <w:rPr>
      <w:rFonts w:asciiTheme="minorHAnsi" w:hAnsiTheme="minorHAnsi" w:eastAsiaTheme="minorEastAsia" w:cstheme="minorBidi"/>
      <w:sz w:val="21"/>
      <w:szCs w:val="22"/>
    </w:rPr>
  </w:style>
  <w:style w:type="paragraph" w:styleId="18">
    <w:name w:val="toc 6"/>
    <w:basedOn w:val="1"/>
    <w:next w:val="1"/>
    <w:unhideWhenUsed/>
    <w:qFormat/>
    <w:uiPriority w:val="39"/>
    <w:pPr>
      <w:spacing w:line="240" w:lineRule="auto"/>
      <w:ind w:left="2100" w:leftChars="1000" w:firstLine="0" w:firstLineChars="0"/>
    </w:pPr>
    <w:rPr>
      <w:rFonts w:asciiTheme="minorHAnsi" w:hAnsiTheme="minorHAnsi" w:eastAsiaTheme="minorEastAsia" w:cstheme="minorBidi"/>
      <w:sz w:val="21"/>
      <w:szCs w:val="22"/>
    </w:rPr>
  </w:style>
  <w:style w:type="paragraph" w:styleId="19">
    <w:name w:val="toc 2"/>
    <w:basedOn w:val="1"/>
    <w:next w:val="1"/>
    <w:unhideWhenUsed/>
    <w:qFormat/>
    <w:uiPriority w:val="39"/>
    <w:pPr>
      <w:ind w:left="200" w:leftChars="200" w:firstLine="0" w:firstLineChars="0"/>
    </w:pPr>
    <w:rPr>
      <w:sz w:val="28"/>
    </w:rPr>
  </w:style>
  <w:style w:type="paragraph" w:styleId="20">
    <w:name w:val="toc 9"/>
    <w:basedOn w:val="1"/>
    <w:next w:val="1"/>
    <w:unhideWhenUsed/>
    <w:qFormat/>
    <w:uiPriority w:val="39"/>
    <w:pPr>
      <w:spacing w:line="240" w:lineRule="auto"/>
      <w:ind w:left="3360" w:leftChars="1600" w:firstLine="0" w:firstLineChars="0"/>
    </w:pPr>
    <w:rPr>
      <w:rFonts w:asciiTheme="minorHAnsi" w:hAnsiTheme="minorHAnsi" w:eastAsiaTheme="minorEastAsia" w:cstheme="minorBidi"/>
      <w:sz w:val="21"/>
      <w:szCs w:val="22"/>
    </w:rPr>
  </w:style>
  <w:style w:type="paragraph" w:styleId="21">
    <w:name w:val="Normal (Web)"/>
    <w:basedOn w:val="1"/>
    <w:semiHidden/>
    <w:unhideWhenUsed/>
    <w:qFormat/>
    <w:uiPriority w:val="99"/>
    <w:pPr>
      <w:widowControl/>
      <w:spacing w:before="100" w:beforeAutospacing="1" w:after="100" w:afterAutospacing="1" w:line="240" w:lineRule="auto"/>
    </w:pPr>
    <w:rPr>
      <w:rFonts w:ascii="宋体" w:hAnsi="宋体" w:eastAsia="宋体" w:cs="宋体"/>
      <w:kern w:val="0"/>
      <w:sz w:val="24"/>
    </w:rPr>
  </w:style>
  <w:style w:type="paragraph" w:styleId="22">
    <w:name w:val="Title"/>
    <w:basedOn w:val="1"/>
    <w:next w:val="1"/>
    <w:link w:val="44"/>
    <w:qFormat/>
    <w:uiPriority w:val="10"/>
    <w:pPr>
      <w:ind w:firstLine="0" w:firstLineChars="0"/>
      <w:jc w:val="center"/>
      <w:outlineLvl w:val="0"/>
    </w:pPr>
    <w:rPr>
      <w:rFonts w:asciiTheme="majorHAnsi" w:hAnsiTheme="majorHAnsi" w:eastAsiaTheme="majorEastAsia" w:cstheme="majorBidi"/>
      <w:b/>
      <w:bCs/>
      <w:sz w:val="44"/>
      <w:szCs w:val="32"/>
    </w:rPr>
  </w:style>
  <w:style w:type="paragraph" w:styleId="23">
    <w:name w:val="annotation subject"/>
    <w:basedOn w:val="7"/>
    <w:next w:val="7"/>
    <w:link w:val="41"/>
    <w:semiHidden/>
    <w:unhideWhenUsed/>
    <w:qFormat/>
    <w:uiPriority w:val="99"/>
    <w:rPr>
      <w:b/>
      <w:bCs/>
    </w:rPr>
  </w:style>
  <w:style w:type="table" w:styleId="25">
    <w:name w:val="Table Grid"/>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7">
    <w:name w:val="Hyperlink"/>
    <w:basedOn w:val="26"/>
    <w:unhideWhenUsed/>
    <w:qFormat/>
    <w:uiPriority w:val="99"/>
    <w:rPr>
      <w:color w:val="0000FF"/>
      <w:u w:val="single"/>
    </w:rPr>
  </w:style>
  <w:style w:type="character" w:styleId="28">
    <w:name w:val="annotation reference"/>
    <w:basedOn w:val="26"/>
    <w:semiHidden/>
    <w:unhideWhenUsed/>
    <w:qFormat/>
    <w:uiPriority w:val="99"/>
    <w:rPr>
      <w:sz w:val="21"/>
      <w:szCs w:val="21"/>
    </w:rPr>
  </w:style>
  <w:style w:type="character" w:customStyle="1" w:styleId="29">
    <w:name w:val="页脚 字符"/>
    <w:basedOn w:val="26"/>
    <w:link w:val="14"/>
    <w:qFormat/>
    <w:uiPriority w:val="99"/>
    <w:rPr>
      <w:rFonts w:eastAsia="宋体"/>
      <w:sz w:val="28"/>
      <w:szCs w:val="18"/>
    </w:rPr>
  </w:style>
  <w:style w:type="character" w:customStyle="1" w:styleId="30">
    <w:name w:val="页眉 字符"/>
    <w:basedOn w:val="26"/>
    <w:link w:val="15"/>
    <w:qFormat/>
    <w:uiPriority w:val="99"/>
    <w:rPr>
      <w:sz w:val="18"/>
      <w:szCs w:val="18"/>
    </w:rPr>
  </w:style>
  <w:style w:type="paragraph" w:styleId="31">
    <w:name w:val="List Paragraph"/>
    <w:basedOn w:val="1"/>
    <w:qFormat/>
    <w:uiPriority w:val="99"/>
    <w:pPr>
      <w:spacing w:line="300" w:lineRule="exact"/>
      <w:ind w:firstLine="0" w:firstLineChars="0"/>
      <w:jc w:val="left"/>
    </w:pPr>
    <w:rPr>
      <w:sz w:val="21"/>
    </w:rPr>
  </w:style>
  <w:style w:type="character" w:customStyle="1" w:styleId="32">
    <w:name w:val="style11"/>
    <w:basedOn w:val="26"/>
    <w:qFormat/>
    <w:uiPriority w:val="0"/>
    <w:rPr>
      <w:sz w:val="21"/>
      <w:szCs w:val="21"/>
    </w:rPr>
  </w:style>
  <w:style w:type="character" w:customStyle="1" w:styleId="33">
    <w:name w:val="罗城正文 字符"/>
    <w:basedOn w:val="26"/>
    <w:link w:val="34"/>
    <w:qFormat/>
    <w:locked/>
    <w:uiPriority w:val="99"/>
    <w:rPr>
      <w:rFonts w:ascii="Times New Roman" w:hAnsi="Times New Roman"/>
      <w:sz w:val="32"/>
    </w:rPr>
  </w:style>
  <w:style w:type="paragraph" w:customStyle="1" w:styleId="34">
    <w:name w:val="罗城正文"/>
    <w:basedOn w:val="1"/>
    <w:link w:val="33"/>
    <w:qFormat/>
    <w:uiPriority w:val="99"/>
    <w:pPr>
      <w:spacing w:line="360" w:lineRule="auto"/>
    </w:pPr>
  </w:style>
  <w:style w:type="paragraph" w:customStyle="1" w:styleId="35">
    <w:name w:val="四级专栏"/>
    <w:basedOn w:val="9"/>
    <w:qFormat/>
    <w:uiPriority w:val="0"/>
    <w:pPr>
      <w:jc w:val="center"/>
    </w:pPr>
    <w:rPr>
      <w:rFonts w:ascii="Calibri" w:hAnsi="Calibri" w:eastAsia="黑体"/>
      <w:kern w:val="0"/>
      <w:sz w:val="20"/>
      <w:szCs w:val="20"/>
    </w:rPr>
  </w:style>
  <w:style w:type="paragraph" w:customStyle="1" w:styleId="36">
    <w:name w:val="WPSOffice手动目录 1"/>
    <w:qFormat/>
    <w:uiPriority w:val="0"/>
    <w:rPr>
      <w:rFonts w:ascii="Times New Roman" w:hAnsi="Times New Roman" w:eastAsia="宋体" w:cs="Times New Roman"/>
      <w:lang w:val="en-US" w:eastAsia="zh-CN" w:bidi="ar-SA"/>
    </w:rPr>
  </w:style>
  <w:style w:type="paragraph" w:customStyle="1" w:styleId="37">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8">
    <w:name w:val="批注框文本 字符"/>
    <w:basedOn w:val="26"/>
    <w:link w:val="13"/>
    <w:semiHidden/>
    <w:qFormat/>
    <w:uiPriority w:val="99"/>
    <w:rPr>
      <w:rFonts w:eastAsia="仿宋_GB2312"/>
      <w:kern w:val="2"/>
      <w:sz w:val="18"/>
      <w:szCs w:val="18"/>
    </w:rPr>
  </w:style>
  <w:style w:type="character" w:customStyle="1" w:styleId="39">
    <w:name w:val="a"/>
    <w:basedOn w:val="26"/>
    <w:qFormat/>
    <w:uiPriority w:val="0"/>
  </w:style>
  <w:style w:type="character" w:customStyle="1" w:styleId="40">
    <w:name w:val="批注文字 字符"/>
    <w:basedOn w:val="26"/>
    <w:link w:val="7"/>
    <w:semiHidden/>
    <w:qFormat/>
    <w:uiPriority w:val="99"/>
    <w:rPr>
      <w:rFonts w:eastAsia="仿宋_GB2312"/>
      <w:kern w:val="2"/>
      <w:sz w:val="32"/>
      <w:szCs w:val="24"/>
    </w:rPr>
  </w:style>
  <w:style w:type="character" w:customStyle="1" w:styleId="41">
    <w:name w:val="批注主题 字符"/>
    <w:basedOn w:val="40"/>
    <w:link w:val="23"/>
    <w:semiHidden/>
    <w:qFormat/>
    <w:uiPriority w:val="99"/>
    <w:rPr>
      <w:rFonts w:eastAsia="仿宋_GB2312"/>
      <w:b/>
      <w:bCs/>
      <w:kern w:val="2"/>
      <w:sz w:val="32"/>
      <w:szCs w:val="24"/>
    </w:rPr>
  </w:style>
  <w:style w:type="paragraph" w:customStyle="1" w:styleId="42">
    <w:name w:val="图片"/>
    <w:link w:val="43"/>
    <w:qFormat/>
    <w:uiPriority w:val="0"/>
    <w:rPr>
      <w:rFonts w:ascii="Times New Roman" w:hAnsi="Times New Roman" w:eastAsia="仿宋_GB2312" w:cs="Times New Roman"/>
      <w:kern w:val="2"/>
      <w:sz w:val="32"/>
      <w:szCs w:val="24"/>
      <w:lang w:val="en-US" w:eastAsia="zh-CN" w:bidi="ar-SA"/>
    </w:rPr>
  </w:style>
  <w:style w:type="character" w:customStyle="1" w:styleId="43">
    <w:name w:val="图片 Char"/>
    <w:basedOn w:val="26"/>
    <w:link w:val="42"/>
    <w:qFormat/>
    <w:uiPriority w:val="0"/>
    <w:rPr>
      <w:rFonts w:eastAsia="仿宋_GB2312"/>
      <w:kern w:val="2"/>
      <w:sz w:val="32"/>
      <w:szCs w:val="24"/>
    </w:rPr>
  </w:style>
  <w:style w:type="character" w:customStyle="1" w:styleId="44">
    <w:name w:val="标题 字符"/>
    <w:basedOn w:val="26"/>
    <w:link w:val="22"/>
    <w:qFormat/>
    <w:uiPriority w:val="10"/>
    <w:rPr>
      <w:rFonts w:asciiTheme="majorHAnsi" w:hAnsiTheme="majorHAnsi" w:eastAsiaTheme="majorEastAsia" w:cstheme="majorBidi"/>
      <w:b/>
      <w:bCs/>
      <w:kern w:val="2"/>
      <w:sz w:val="44"/>
      <w:szCs w:val="32"/>
    </w:rPr>
  </w:style>
  <w:style w:type="character" w:customStyle="1" w:styleId="45">
    <w:name w:val="日期 字符"/>
    <w:basedOn w:val="26"/>
    <w:link w:val="12"/>
    <w:semiHidden/>
    <w:qFormat/>
    <w:uiPriority w:val="99"/>
    <w:rPr>
      <w:rFonts w:ascii="仿宋" w:eastAsia="仿宋"/>
      <w:kern w:val="2"/>
      <w:sz w:val="32"/>
      <w:szCs w:val="24"/>
    </w:rPr>
  </w:style>
  <w:style w:type="paragraph" w:customStyle="1" w:styleId="46">
    <w:name w:val="TOC 标题1"/>
    <w:basedOn w:val="3"/>
    <w:next w:val="1"/>
    <w:unhideWhenUsed/>
    <w:qFormat/>
    <w:uiPriority w:val="39"/>
    <w:pPr>
      <w:widowControl/>
      <w:spacing w:before="240" w:line="259" w:lineRule="auto"/>
      <w:jc w:val="left"/>
      <w:outlineLvl w:val="9"/>
    </w:pPr>
    <w:rPr>
      <w:rFonts w:asciiTheme="majorHAnsi" w:hAnsiTheme="majorHAnsi" w:eastAsiaTheme="majorEastAsia" w:cstheme="majorBidi"/>
      <w:color w:val="376092" w:themeColor="accent1" w:themeShade="BF"/>
      <w:kern w:val="0"/>
      <w:szCs w:val="32"/>
    </w:rPr>
  </w:style>
  <w:style w:type="character" w:customStyle="1" w:styleId="47">
    <w:name w:val="未处理的提及1"/>
    <w:basedOn w:val="26"/>
    <w:semiHidden/>
    <w:unhideWhenUsed/>
    <w:qFormat/>
    <w:uiPriority w:val="99"/>
    <w:rPr>
      <w:color w:val="605E5C"/>
      <w:shd w:val="clear" w:color="auto" w:fill="E1DFDD"/>
    </w:rPr>
  </w:style>
  <w:style w:type="character" w:customStyle="1" w:styleId="48">
    <w:name w:val="bjh-strong"/>
    <w:basedOn w:val="26"/>
    <w:qFormat/>
    <w:uiPriority w:val="0"/>
  </w:style>
  <w:style w:type="character" w:customStyle="1" w:styleId="49">
    <w:name w:val="NormalCharacter"/>
    <w:semiHidden/>
    <w:qFormat/>
    <w:uiPriority w:val="0"/>
    <w:rPr>
      <w:rFonts w:ascii="Calibri" w:hAnsi="Calibri"/>
      <w:kern w:val="2"/>
      <w:sz w:val="21"/>
      <w:szCs w:val="24"/>
      <w:lang w:val="en-US" w:eastAsia="zh-CN" w:bidi="ar-SA"/>
    </w:rPr>
  </w:style>
  <w:style w:type="character" w:customStyle="1" w:styleId="50">
    <w:name w:val="标题 2 字符"/>
    <w:basedOn w:val="26"/>
    <w:link w:val="4"/>
    <w:qFormat/>
    <w:uiPriority w:val="9"/>
    <w:rPr>
      <w:rFonts w:ascii="Arial" w:hAnsi="Arial" w:eastAsia="楷体_GB2312"/>
      <w:b/>
      <w:kern w:val="2"/>
      <w:sz w:val="32"/>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jpe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3261971-1CB6-4212-8260-41327D81ABD7}">
  <ds:schemaRefs/>
</ds:datastoreItem>
</file>

<file path=docProps/app.xml><?xml version="1.0" encoding="utf-8"?>
<Properties xmlns="http://schemas.openxmlformats.org/officeDocument/2006/extended-properties" xmlns:vt="http://schemas.openxmlformats.org/officeDocument/2006/docPropsVTypes">
  <Template>Normal.dotm</Template>
  <Pages>92</Pages>
  <Words>7486</Words>
  <Characters>42674</Characters>
  <Lines>355</Lines>
  <Paragraphs>100</Paragraphs>
  <TotalTime>6</TotalTime>
  <ScaleCrop>false</ScaleCrop>
  <LinksUpToDate>false</LinksUpToDate>
  <CharactersWithSpaces>50060</CharactersWithSpaces>
  <Application>WPS Office_11.8.2.8696_F1E327BC-269C-435d-A152-05C5408002CA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2022-08-02T10:24:00Z</dcterms:created>
  <dc:creator>Windows 用户</dc:creator>
  <cp:lastModifiedBy>1</cp:lastModifiedBy>
  <cp:lastPrinted>2022-01-04T10:03:00Z</cp:lastPrinted>
  <dcterms:modified xsi:type="dcterms:W3CDTF">2022-11-25T09:38:50Z</dcterms:modified>
  <dc:title>钦州市现代特色农业示范区</dc:title>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2052-11.8.2.8696</vt:lpwstr>
  </property>
  <property fmtid="{D5CDD505-2E9C-101B-9397-08002B2CF9AE}" pid="3" name="ICV">
    <vt:lpwstr>E448BBFF616143DEBFB4A5AFF5D055C5</vt:lpwstr>
  </property>
</Properties>
</file>