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1-</w:t>
      </w:r>
      <w:r>
        <w:rPr>
          <w:rFonts w:hint="eastAsia" w:ascii="黑体" w:eastAsia="黑体"/>
          <w:sz w:val="32"/>
          <w:szCs w:val="32"/>
        </w:rPr>
        <w:t>3</w:t>
      </w:r>
    </w:p>
    <w:p>
      <w:pPr>
        <w:spacing w:line="40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农村宅基地和建房（规划许可）审批表</w:t>
      </w:r>
    </w:p>
    <w:tbl>
      <w:tblPr>
        <w:tblStyle w:val="4"/>
        <w:tblpPr w:leftFromText="180" w:rightFromText="180" w:vertAnchor="page" w:horzAnchor="margin" w:tblpXSpec="center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page" w:horzAnchor="margin" w:tblpY="1"/>
              <w:tblOverlap w:val="never"/>
              <w:tblW w:w="795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住房建筑面积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建筑层数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121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建筑高度</w:t>
                  </w: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国土规建环保安监站（“四所合一”机构）</w:t>
            </w:r>
            <w:r>
              <w:rPr>
                <w:rFonts w:hint="eastAsia" w:ascii="仿宋_GB2312" w:eastAsia="仿宋_GB2312" w:cs="仿宋_GB2312"/>
              </w:rPr>
              <w:t>意见</w:t>
            </w:r>
          </w:p>
          <w:p>
            <w:pPr>
              <w:spacing w:line="360" w:lineRule="auto"/>
              <w:ind w:firstLine="5460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其他部门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  <w:p>
            <w:pPr>
              <w:spacing w:line="360" w:lineRule="auto"/>
              <w:ind w:firstLine="2310" w:firstLineChars="1100"/>
              <w:rPr>
                <w:rFonts w:ascii="仿宋_GB2312" w:eastAsia="仿宋_GB2312" w:cs="仿宋_GB2312"/>
              </w:rPr>
            </w:pPr>
          </w:p>
        </w:tc>
        <w:tc>
          <w:tcPr>
            <w:tcW w:w="760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360" w:lineRule="auto"/>
              <w:ind w:firstLine="2100" w:firstLineChars="10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</w:rPr>
              <w:t>镇</w:t>
            </w:r>
            <w:r>
              <w:rPr>
                <w:rFonts w:hint="eastAsia" w:ascii="仿宋_GB2312" w:eastAsia="仿宋_GB2312" w:cs="仿宋_GB2312"/>
                <w:lang w:eastAsia="zh-CN"/>
              </w:rPr>
              <w:t>（街道）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政府审核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批准意见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0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  <w:rsid w:val="06A141CD"/>
    <w:rsid w:val="28333F5C"/>
    <w:rsid w:val="3724015F"/>
    <w:rsid w:val="6E56344D"/>
    <w:rsid w:val="744973E0"/>
    <w:rsid w:val="759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FAAA3-2ECB-40E3-8A2A-40477AEFE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2</TotalTime>
  <ScaleCrop>false</ScaleCrop>
  <LinksUpToDate>false</LinksUpToDate>
  <CharactersWithSpaces>792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张成</dc:creator>
  <cp:lastModifiedBy>Administrator</cp:lastModifiedBy>
  <cp:lastPrinted>2020-06-22T02:48:00Z</cp:lastPrinted>
  <dcterms:modified xsi:type="dcterms:W3CDTF">2020-07-06T03:45:59Z</dcterms:modified>
  <dc:title>附件3</dc:title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